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444" w:rsidRPr="00D51BBF" w:rsidRDefault="00F14444">
      <w:pPr>
        <w:rPr>
          <w:rFonts w:ascii="Times New Roman" w:hAnsi="Times New Roman" w:cs="Times New Roman"/>
          <w:sz w:val="24"/>
          <w:szCs w:val="24"/>
        </w:rPr>
      </w:pPr>
    </w:p>
    <w:p w:rsidR="00583ABD" w:rsidRDefault="00135467" w:rsidP="00583ABD">
      <w:pPr>
        <w:jc w:val="center"/>
        <w:rPr>
          <w:rFonts w:ascii="Times New Roman" w:hAnsi="Times New Roman" w:cs="Times New Roman"/>
          <w:color w:val="000000" w:themeColor="text1"/>
          <w:sz w:val="32"/>
          <w:szCs w:val="32"/>
        </w:rPr>
      </w:pPr>
      <w:r w:rsidRPr="00583ABD">
        <w:rPr>
          <w:rFonts w:ascii="Times New Roman" w:hAnsi="Times New Roman" w:cs="Times New Roman"/>
          <w:color w:val="000000" w:themeColor="text1"/>
          <w:sz w:val="32"/>
          <w:szCs w:val="32"/>
        </w:rPr>
        <w:t xml:space="preserve">APF – Room for Improvement? </w:t>
      </w:r>
    </w:p>
    <w:p w:rsidR="00135467" w:rsidRDefault="00135467" w:rsidP="00583ABD">
      <w:pPr>
        <w:jc w:val="center"/>
        <w:rPr>
          <w:rFonts w:ascii="Times New Roman" w:hAnsi="Times New Roman" w:cs="Times New Roman"/>
          <w:color w:val="000000" w:themeColor="text1"/>
          <w:sz w:val="32"/>
          <w:szCs w:val="32"/>
        </w:rPr>
      </w:pPr>
      <w:r w:rsidRPr="00583ABD">
        <w:rPr>
          <w:rFonts w:ascii="Times New Roman" w:hAnsi="Times New Roman" w:cs="Times New Roman"/>
          <w:color w:val="000000" w:themeColor="text1"/>
          <w:sz w:val="32"/>
          <w:szCs w:val="32"/>
        </w:rPr>
        <w:t>Can the Alaska model be</w:t>
      </w:r>
      <w:r w:rsidR="00583ABD" w:rsidRPr="00583ABD">
        <w:rPr>
          <w:rFonts w:ascii="Times New Roman" w:hAnsi="Times New Roman" w:cs="Times New Roman"/>
          <w:color w:val="000000" w:themeColor="text1"/>
          <w:sz w:val="32"/>
          <w:szCs w:val="32"/>
        </w:rPr>
        <w:t xml:space="preserve"> applied on a worldwide basis?</w:t>
      </w:r>
    </w:p>
    <w:p w:rsidR="00583ABD" w:rsidRPr="00D51BBF" w:rsidRDefault="00583ABD" w:rsidP="00583ABD">
      <w:pPr>
        <w:rPr>
          <w:rFonts w:ascii="Times New Roman" w:hAnsi="Times New Roman" w:cs="Times New Roman"/>
          <w:color w:val="000000" w:themeColor="text1"/>
          <w:sz w:val="24"/>
          <w:szCs w:val="24"/>
        </w:rPr>
      </w:pPr>
      <w:r w:rsidRPr="00D51BBF">
        <w:rPr>
          <w:rFonts w:ascii="Times New Roman" w:hAnsi="Times New Roman" w:cs="Times New Roman"/>
          <w:color w:val="000000" w:themeColor="text1"/>
          <w:sz w:val="24"/>
          <w:szCs w:val="24"/>
        </w:rPr>
        <w:t xml:space="preserve">Alanna Hartzok, Co-Director, Earth Rights Institute, author, </w:t>
      </w:r>
      <w:r w:rsidRPr="00D51BBF">
        <w:rPr>
          <w:rFonts w:ascii="Times New Roman" w:hAnsi="Times New Roman" w:cs="Times New Roman"/>
          <w:color w:val="000000" w:themeColor="text1"/>
          <w:sz w:val="24"/>
          <w:szCs w:val="24"/>
          <w:u w:val="single"/>
        </w:rPr>
        <w:t>The Earth Belongs to Everyone</w:t>
      </w:r>
    </w:p>
    <w:p w:rsidR="00135467" w:rsidRPr="00D51BBF" w:rsidRDefault="00135467" w:rsidP="00135467">
      <w:pPr>
        <w:rPr>
          <w:rFonts w:ascii="Times New Roman" w:hAnsi="Times New Roman" w:cs="Times New Roman"/>
          <w:color w:val="000000" w:themeColor="text1"/>
          <w:sz w:val="24"/>
          <w:szCs w:val="24"/>
        </w:rPr>
      </w:pPr>
      <w:r w:rsidRPr="00D51BBF">
        <w:rPr>
          <w:rFonts w:ascii="Times New Roman" w:hAnsi="Times New Roman" w:cs="Times New Roman"/>
          <w:color w:val="000000" w:themeColor="text1"/>
          <w:sz w:val="24"/>
          <w:szCs w:val="24"/>
        </w:rPr>
        <w:t xml:space="preserve">                                                                                                                                                                                                                                                                                                      </w:t>
      </w:r>
    </w:p>
    <w:p w:rsidR="00135467" w:rsidRPr="00D51BBF" w:rsidRDefault="00BD24DF" w:rsidP="00135467">
      <w:pPr>
        <w:rPr>
          <w:rFonts w:ascii="Times New Roman" w:hAnsi="Times New Roman" w:cs="Times New Roman"/>
          <w:color w:val="000000" w:themeColor="text1"/>
          <w:sz w:val="24"/>
          <w:szCs w:val="24"/>
        </w:rPr>
      </w:pPr>
      <w:r w:rsidRPr="00D51BBF">
        <w:rPr>
          <w:rFonts w:ascii="Times New Roman" w:hAnsi="Times New Roman" w:cs="Times New Roman"/>
          <w:color w:val="000000" w:themeColor="text1"/>
          <w:sz w:val="24"/>
          <w:szCs w:val="24"/>
        </w:rPr>
        <w:t>When considering the question of whether or not the</w:t>
      </w:r>
      <w:r w:rsidR="00135467" w:rsidRPr="00D51BBF">
        <w:rPr>
          <w:rFonts w:ascii="Times New Roman" w:hAnsi="Times New Roman" w:cs="Times New Roman"/>
          <w:color w:val="000000" w:themeColor="text1"/>
          <w:sz w:val="24"/>
          <w:szCs w:val="24"/>
        </w:rPr>
        <w:t xml:space="preserve"> Alaska model </w:t>
      </w:r>
      <w:r w:rsidRPr="00D51BBF">
        <w:rPr>
          <w:rFonts w:ascii="Times New Roman" w:hAnsi="Times New Roman" w:cs="Times New Roman"/>
          <w:color w:val="000000" w:themeColor="text1"/>
          <w:sz w:val="24"/>
          <w:szCs w:val="24"/>
        </w:rPr>
        <w:t xml:space="preserve">can </w:t>
      </w:r>
      <w:r w:rsidR="00135467" w:rsidRPr="00D51BBF">
        <w:rPr>
          <w:rFonts w:ascii="Times New Roman" w:hAnsi="Times New Roman" w:cs="Times New Roman"/>
          <w:color w:val="000000" w:themeColor="text1"/>
          <w:sz w:val="24"/>
          <w:szCs w:val="24"/>
        </w:rPr>
        <w:t>be applied on</w:t>
      </w:r>
      <w:r w:rsidRPr="00D51BBF">
        <w:rPr>
          <w:rFonts w:ascii="Times New Roman" w:hAnsi="Times New Roman" w:cs="Times New Roman"/>
          <w:color w:val="000000" w:themeColor="text1"/>
          <w:sz w:val="24"/>
          <w:szCs w:val="24"/>
        </w:rPr>
        <w:t xml:space="preserve"> a worldwide basis it is necessary to consider both the strengths and shortcomings of the Alaska Permanent Fund as currently constituted. </w:t>
      </w:r>
      <w:r w:rsidR="00135467" w:rsidRPr="00D51BBF">
        <w:rPr>
          <w:rFonts w:ascii="Times New Roman" w:hAnsi="Times New Roman" w:cs="Times New Roman"/>
          <w:color w:val="000000" w:themeColor="text1"/>
          <w:sz w:val="24"/>
          <w:szCs w:val="24"/>
        </w:rPr>
        <w:t>While several components of the Alaska Permanent Fund could and should be replicated elsewhere, ther</w:t>
      </w:r>
      <w:r w:rsidRPr="00D51BBF">
        <w:rPr>
          <w:rFonts w:ascii="Times New Roman" w:hAnsi="Times New Roman" w:cs="Times New Roman"/>
          <w:color w:val="000000" w:themeColor="text1"/>
          <w:sz w:val="24"/>
          <w:szCs w:val="24"/>
        </w:rPr>
        <w:t>e are</w:t>
      </w:r>
      <w:r w:rsidR="005A6D78" w:rsidRPr="00D51BBF">
        <w:rPr>
          <w:rFonts w:ascii="Times New Roman" w:hAnsi="Times New Roman" w:cs="Times New Roman"/>
          <w:color w:val="000000" w:themeColor="text1"/>
          <w:sz w:val="24"/>
          <w:szCs w:val="24"/>
        </w:rPr>
        <w:t xml:space="preserve"> a few</w:t>
      </w:r>
      <w:r w:rsidRPr="00D51BBF">
        <w:rPr>
          <w:rFonts w:ascii="Times New Roman" w:hAnsi="Times New Roman" w:cs="Times New Roman"/>
          <w:color w:val="000000" w:themeColor="text1"/>
          <w:sz w:val="24"/>
          <w:szCs w:val="24"/>
        </w:rPr>
        <w:t xml:space="preserve"> important aspects of the f</w:t>
      </w:r>
      <w:r w:rsidR="00135467" w:rsidRPr="00D51BBF">
        <w:rPr>
          <w:rFonts w:ascii="Times New Roman" w:hAnsi="Times New Roman" w:cs="Times New Roman"/>
          <w:color w:val="000000" w:themeColor="text1"/>
          <w:sz w:val="24"/>
          <w:szCs w:val="24"/>
        </w:rPr>
        <w:t>und that need to be modified</w:t>
      </w:r>
      <w:r w:rsidR="00F55770" w:rsidRPr="00D51BBF">
        <w:rPr>
          <w:rFonts w:ascii="Times New Roman" w:hAnsi="Times New Roman" w:cs="Times New Roman"/>
          <w:color w:val="000000" w:themeColor="text1"/>
          <w:sz w:val="24"/>
          <w:szCs w:val="24"/>
        </w:rPr>
        <w:t xml:space="preserve"> when applied to establishing similar new agencies elsewhere</w:t>
      </w:r>
      <w:r w:rsidR="00135467" w:rsidRPr="00D51BBF">
        <w:rPr>
          <w:rFonts w:ascii="Times New Roman" w:hAnsi="Times New Roman" w:cs="Times New Roman"/>
          <w:color w:val="000000" w:themeColor="text1"/>
          <w:sz w:val="24"/>
          <w:szCs w:val="24"/>
        </w:rPr>
        <w:t>. Let us first consider the several positive aspects</w:t>
      </w:r>
      <w:r w:rsidRPr="00D51BBF">
        <w:rPr>
          <w:rFonts w:ascii="Times New Roman" w:hAnsi="Times New Roman" w:cs="Times New Roman"/>
          <w:color w:val="000000" w:themeColor="text1"/>
          <w:sz w:val="24"/>
          <w:szCs w:val="24"/>
        </w:rPr>
        <w:t xml:space="preserve"> of the f</w:t>
      </w:r>
      <w:r w:rsidR="00135467" w:rsidRPr="00D51BBF">
        <w:rPr>
          <w:rFonts w:ascii="Times New Roman" w:hAnsi="Times New Roman" w:cs="Times New Roman"/>
          <w:color w:val="000000" w:themeColor="text1"/>
          <w:sz w:val="24"/>
          <w:szCs w:val="24"/>
        </w:rPr>
        <w:t>und which should be retained</w:t>
      </w:r>
      <w:r w:rsidRPr="00D51BBF">
        <w:rPr>
          <w:rFonts w:ascii="Times New Roman" w:hAnsi="Times New Roman" w:cs="Times New Roman"/>
          <w:color w:val="000000" w:themeColor="text1"/>
          <w:sz w:val="24"/>
          <w:szCs w:val="24"/>
        </w:rPr>
        <w:t xml:space="preserve"> when establishing new funds</w:t>
      </w:r>
      <w:r w:rsidR="00135467" w:rsidRPr="00D51BBF">
        <w:rPr>
          <w:rFonts w:ascii="Times New Roman" w:hAnsi="Times New Roman" w:cs="Times New Roman"/>
          <w:color w:val="000000" w:themeColor="text1"/>
          <w:sz w:val="24"/>
          <w:szCs w:val="24"/>
        </w:rPr>
        <w:t>.</w:t>
      </w:r>
    </w:p>
    <w:p w:rsidR="00135467" w:rsidRPr="00D51BBF" w:rsidRDefault="00BD24DF" w:rsidP="00AD4D2E">
      <w:pPr>
        <w:rPr>
          <w:rFonts w:ascii="Times New Roman" w:hAnsi="Times New Roman" w:cs="Times New Roman"/>
          <w:color w:val="000000"/>
          <w:sz w:val="24"/>
          <w:szCs w:val="24"/>
        </w:rPr>
      </w:pPr>
      <w:r w:rsidRPr="00D51BBF">
        <w:rPr>
          <w:rFonts w:ascii="Times New Roman" w:hAnsi="Times New Roman" w:cs="Times New Roman"/>
          <w:color w:val="000000" w:themeColor="text1"/>
          <w:sz w:val="24"/>
          <w:szCs w:val="24"/>
        </w:rPr>
        <w:t>The legality of the f</w:t>
      </w:r>
      <w:r w:rsidR="00135467" w:rsidRPr="00D51BBF">
        <w:rPr>
          <w:rFonts w:ascii="Times New Roman" w:hAnsi="Times New Roman" w:cs="Times New Roman"/>
          <w:color w:val="000000" w:themeColor="text1"/>
          <w:sz w:val="24"/>
          <w:szCs w:val="24"/>
        </w:rPr>
        <w:t>und is firmly embedded</w:t>
      </w:r>
      <w:r w:rsidR="00F55770" w:rsidRPr="00D51BBF">
        <w:rPr>
          <w:rFonts w:ascii="Times New Roman" w:hAnsi="Times New Roman" w:cs="Times New Roman"/>
          <w:color w:val="000000" w:themeColor="text1"/>
          <w:sz w:val="24"/>
          <w:szCs w:val="24"/>
        </w:rPr>
        <w:t xml:space="preserve"> in what</w:t>
      </w:r>
      <w:r w:rsidR="00AD4D2E" w:rsidRPr="00D51BBF">
        <w:rPr>
          <w:rFonts w:ascii="Times New Roman" w:hAnsi="Times New Roman" w:cs="Times New Roman"/>
          <w:color w:val="000000" w:themeColor="text1"/>
          <w:sz w:val="24"/>
          <w:szCs w:val="24"/>
        </w:rPr>
        <w:t xml:space="preserve"> Wally Hickel</w:t>
      </w:r>
      <w:r w:rsidR="00D51BBF">
        <w:rPr>
          <w:rFonts w:ascii="Times New Roman" w:hAnsi="Times New Roman" w:cs="Times New Roman"/>
          <w:color w:val="000000" w:themeColor="text1"/>
          <w:sz w:val="24"/>
          <w:szCs w:val="24"/>
        </w:rPr>
        <w:t>,</w:t>
      </w:r>
      <w:r w:rsidR="00135467" w:rsidRPr="00D51BBF">
        <w:rPr>
          <w:rFonts w:ascii="Times New Roman" w:hAnsi="Times New Roman" w:cs="Times New Roman"/>
          <w:color w:val="000000" w:themeColor="text1"/>
          <w:sz w:val="24"/>
          <w:szCs w:val="24"/>
        </w:rPr>
        <w:t xml:space="preserve"> </w:t>
      </w:r>
      <w:r w:rsidR="00AD4D2E" w:rsidRPr="00D51BBF">
        <w:rPr>
          <w:rFonts w:ascii="Times New Roman" w:hAnsi="Times New Roman" w:cs="Times New Roman"/>
          <w:sz w:val="24"/>
          <w:szCs w:val="24"/>
        </w:rPr>
        <w:t xml:space="preserve">the second and eighth governor of Alaska, termed </w:t>
      </w:r>
      <w:r w:rsidR="00AD4D2E" w:rsidRPr="00D51BBF">
        <w:rPr>
          <w:rFonts w:ascii="Times New Roman" w:hAnsi="Times New Roman" w:cs="Times New Roman"/>
          <w:color w:val="000000" w:themeColor="text1"/>
          <w:sz w:val="24"/>
          <w:szCs w:val="24"/>
        </w:rPr>
        <w:t>an “owner-</w:t>
      </w:r>
      <w:r w:rsidR="00F14444" w:rsidRPr="00D51BBF">
        <w:rPr>
          <w:rFonts w:ascii="Times New Roman" w:hAnsi="Times New Roman" w:cs="Times New Roman"/>
          <w:color w:val="000000" w:themeColor="text1"/>
          <w:sz w:val="24"/>
          <w:szCs w:val="24"/>
        </w:rPr>
        <w:t xml:space="preserve">state” </w:t>
      </w:r>
      <w:r w:rsidR="00135467" w:rsidRPr="00D51BBF">
        <w:rPr>
          <w:rFonts w:ascii="Times New Roman" w:hAnsi="Times New Roman" w:cs="Times New Roman"/>
          <w:color w:val="000000" w:themeColor="text1"/>
          <w:sz w:val="24"/>
          <w:szCs w:val="24"/>
        </w:rPr>
        <w:t>approach to governance</w:t>
      </w:r>
      <w:r w:rsidR="00AD4D2E" w:rsidRPr="00D51BBF">
        <w:rPr>
          <w:rFonts w:ascii="Times New Roman" w:hAnsi="Times New Roman" w:cs="Times New Roman"/>
          <w:color w:val="000000" w:themeColor="text1"/>
          <w:sz w:val="24"/>
          <w:szCs w:val="24"/>
        </w:rPr>
        <w:t xml:space="preserve">. </w:t>
      </w:r>
      <w:r w:rsidR="00D51BBF">
        <w:rPr>
          <w:rFonts w:ascii="Times New Roman" w:hAnsi="Times New Roman" w:cs="Times New Roman"/>
          <w:color w:val="000000" w:themeColor="text1"/>
          <w:sz w:val="24"/>
          <w:szCs w:val="24"/>
        </w:rPr>
        <w:t>A</w:t>
      </w:r>
      <w:r w:rsidR="00135467" w:rsidRPr="00D51BBF">
        <w:rPr>
          <w:rFonts w:ascii="Times New Roman" w:hAnsi="Times New Roman" w:cs="Times New Roman"/>
          <w:color w:val="000000" w:themeColor="text1"/>
          <w:sz w:val="24"/>
          <w:szCs w:val="24"/>
        </w:rPr>
        <w:t>s stated in the Alaska state constitution</w:t>
      </w:r>
      <w:r w:rsidR="00F14444" w:rsidRPr="00D51BBF">
        <w:rPr>
          <w:rFonts w:ascii="Times New Roman" w:hAnsi="Times New Roman" w:cs="Times New Roman"/>
          <w:color w:val="000000" w:themeColor="text1"/>
          <w:sz w:val="24"/>
          <w:szCs w:val="24"/>
        </w:rPr>
        <w:t>:</w:t>
      </w:r>
      <w:r w:rsidR="00135467" w:rsidRPr="00D51BBF">
        <w:rPr>
          <w:rFonts w:ascii="Times New Roman" w:hAnsi="Times New Roman" w:cs="Times New Roman"/>
          <w:color w:val="000000" w:themeColor="text1"/>
          <w:sz w:val="24"/>
          <w:szCs w:val="24"/>
        </w:rPr>
        <w:t xml:space="preserve"> “all the natural resources of Alaska belong to the state to be used, developed and conserved for the maximum benefit of the people.” </w:t>
      </w:r>
      <w:r w:rsidR="00AD4D2E" w:rsidRPr="00D51BBF">
        <w:rPr>
          <w:rFonts w:ascii="Times New Roman" w:hAnsi="Times New Roman" w:cs="Times New Roman"/>
          <w:color w:val="000000"/>
          <w:sz w:val="24"/>
          <w:szCs w:val="24"/>
        </w:rPr>
        <w:t>Provisions in Alaska's Constitution require that the state’s commonly owned 103 million acres of state land and resources be used for the maximum benefit of the people of Alaska.</w:t>
      </w:r>
      <w:r w:rsidR="009F2985" w:rsidRPr="00D51BBF">
        <w:rPr>
          <w:rFonts w:ascii="Times New Roman" w:hAnsi="Times New Roman" w:cs="Times New Roman"/>
          <w:color w:val="000000"/>
          <w:sz w:val="24"/>
          <w:szCs w:val="24"/>
        </w:rPr>
        <w:t xml:space="preserve"> </w:t>
      </w:r>
      <w:r w:rsidR="00135467" w:rsidRPr="00D51BBF">
        <w:rPr>
          <w:rFonts w:ascii="Times New Roman" w:hAnsi="Times New Roman" w:cs="Times New Roman"/>
          <w:color w:val="000000" w:themeColor="text1"/>
          <w:sz w:val="24"/>
          <w:szCs w:val="24"/>
        </w:rPr>
        <w:t xml:space="preserve">The </w:t>
      </w:r>
      <w:r w:rsidR="009F2985" w:rsidRPr="00D51BBF">
        <w:rPr>
          <w:rFonts w:ascii="Times New Roman" w:hAnsi="Times New Roman" w:cs="Times New Roman"/>
          <w:color w:val="000000" w:themeColor="text1"/>
          <w:sz w:val="24"/>
          <w:szCs w:val="24"/>
        </w:rPr>
        <w:t>APF, established to equitably distribute oil resource rent</w:t>
      </w:r>
      <w:r w:rsidR="009F2985" w:rsidRPr="00D51BBF">
        <w:rPr>
          <w:rStyle w:val="FootnoteReference"/>
          <w:rFonts w:ascii="Times New Roman" w:hAnsi="Times New Roman" w:cs="Times New Roman"/>
          <w:color w:val="000000" w:themeColor="text1"/>
          <w:sz w:val="24"/>
          <w:szCs w:val="24"/>
        </w:rPr>
        <w:footnoteReference w:id="1"/>
      </w:r>
      <w:r w:rsidR="009F2985" w:rsidRPr="00D51BBF">
        <w:rPr>
          <w:rFonts w:ascii="Times New Roman" w:hAnsi="Times New Roman" w:cs="Times New Roman"/>
          <w:color w:val="000000" w:themeColor="text1"/>
          <w:sz w:val="24"/>
          <w:szCs w:val="24"/>
        </w:rPr>
        <w:t xml:space="preserve"> to the people of the state, </w:t>
      </w:r>
      <w:r w:rsidR="00F14444" w:rsidRPr="00D51BBF">
        <w:rPr>
          <w:rFonts w:ascii="Times New Roman" w:hAnsi="Times New Roman" w:cs="Times New Roman"/>
          <w:color w:val="000000" w:themeColor="text1"/>
          <w:sz w:val="24"/>
          <w:szCs w:val="24"/>
        </w:rPr>
        <w:t xml:space="preserve">was </w:t>
      </w:r>
      <w:r w:rsidR="00D51BBF">
        <w:rPr>
          <w:rFonts w:ascii="Times New Roman" w:hAnsi="Times New Roman" w:cs="Times New Roman"/>
          <w:color w:val="000000" w:themeColor="text1"/>
          <w:sz w:val="24"/>
          <w:szCs w:val="24"/>
        </w:rPr>
        <w:t>based upon these principles</w:t>
      </w:r>
      <w:r w:rsidR="00F14444" w:rsidRPr="00D51BBF">
        <w:rPr>
          <w:rFonts w:ascii="Times New Roman" w:hAnsi="Times New Roman" w:cs="Times New Roman"/>
          <w:color w:val="000000" w:themeColor="text1"/>
          <w:sz w:val="24"/>
          <w:szCs w:val="24"/>
        </w:rPr>
        <w:t>.</w:t>
      </w:r>
      <w:r w:rsidR="00BC496C" w:rsidRPr="00D51BBF">
        <w:rPr>
          <w:rFonts w:ascii="Times New Roman" w:hAnsi="Times New Roman" w:cs="Times New Roman"/>
          <w:color w:val="000000" w:themeColor="text1"/>
          <w:sz w:val="24"/>
          <w:szCs w:val="24"/>
        </w:rPr>
        <w:t xml:space="preserve"> </w:t>
      </w:r>
    </w:p>
    <w:p w:rsidR="00135467" w:rsidRPr="00D51BBF" w:rsidRDefault="00135467" w:rsidP="00135467">
      <w:pPr>
        <w:rPr>
          <w:rFonts w:ascii="Times New Roman" w:hAnsi="Times New Roman" w:cs="Times New Roman"/>
          <w:color w:val="000000" w:themeColor="text1"/>
          <w:sz w:val="24"/>
          <w:szCs w:val="24"/>
        </w:rPr>
      </w:pPr>
      <w:r w:rsidRPr="00D51BBF">
        <w:rPr>
          <w:rFonts w:ascii="Times New Roman" w:hAnsi="Times New Roman" w:cs="Times New Roman"/>
          <w:color w:val="000000" w:themeColor="text1"/>
          <w:sz w:val="24"/>
          <w:szCs w:val="24"/>
        </w:rPr>
        <w:t>T</w:t>
      </w:r>
      <w:r w:rsidR="009F2985" w:rsidRPr="00D51BBF">
        <w:rPr>
          <w:rFonts w:ascii="Times New Roman" w:hAnsi="Times New Roman" w:cs="Times New Roman"/>
          <w:color w:val="000000" w:themeColor="text1"/>
          <w:sz w:val="24"/>
          <w:szCs w:val="24"/>
        </w:rPr>
        <w:t>he process of establishing the f</w:t>
      </w:r>
      <w:r w:rsidRPr="00D51BBF">
        <w:rPr>
          <w:rFonts w:ascii="Times New Roman" w:hAnsi="Times New Roman" w:cs="Times New Roman"/>
          <w:color w:val="000000" w:themeColor="text1"/>
          <w:sz w:val="24"/>
          <w:szCs w:val="24"/>
        </w:rPr>
        <w:t>und was broadly democratic. Following a period of public debate and input,  in 1976 voters approved a constitutional amendment, proposed by Governor Jay Hammond and modified by the legislature, which stated that “</w:t>
      </w:r>
      <w:r w:rsidRPr="00D51BBF">
        <w:rPr>
          <w:rFonts w:ascii="Times New Roman" w:hAnsi="Times New Roman" w:cs="Times New Roman"/>
          <w:bCs/>
          <w:iCs/>
          <w:color w:val="000000" w:themeColor="text1"/>
          <w:sz w:val="24"/>
          <w:szCs w:val="24"/>
        </w:rPr>
        <w:t>at least 25% of all mineral lease rentals, royalties, royalty sale proceeds, federal mineral revenue-sharing payments, and bonuses received by the State shall be placed in a permanent fund, the principal of which shall be used only for those income-producing investments specifically designated by law as eligible for permanent fund investments.”</w:t>
      </w:r>
    </w:p>
    <w:p w:rsidR="00135467" w:rsidRPr="00D51BBF" w:rsidRDefault="00135467" w:rsidP="00135467">
      <w:pPr>
        <w:rPr>
          <w:rFonts w:ascii="Times New Roman" w:hAnsi="Times New Roman" w:cs="Times New Roman"/>
          <w:color w:val="000000" w:themeColor="text1"/>
          <w:sz w:val="24"/>
          <w:szCs w:val="24"/>
        </w:rPr>
      </w:pPr>
      <w:r w:rsidRPr="00D51BBF">
        <w:rPr>
          <w:rFonts w:ascii="Times New Roman" w:hAnsi="Times New Roman" w:cs="Times New Roman"/>
          <w:color w:val="000000" w:themeColor="text1"/>
          <w:sz w:val="24"/>
          <w:szCs w:val="24"/>
        </w:rPr>
        <w:t xml:space="preserve">There is a high degree of transparency concerning </w:t>
      </w:r>
      <w:r w:rsidR="009F2985" w:rsidRPr="00D51BBF">
        <w:rPr>
          <w:rFonts w:ascii="Times New Roman" w:hAnsi="Times New Roman" w:cs="Times New Roman"/>
          <w:color w:val="000000" w:themeColor="text1"/>
          <w:sz w:val="24"/>
          <w:szCs w:val="24"/>
        </w:rPr>
        <w:t>both the administration of the f</w:t>
      </w:r>
      <w:r w:rsidRPr="00D51BBF">
        <w:rPr>
          <w:rFonts w:ascii="Times New Roman" w:hAnsi="Times New Roman" w:cs="Times New Roman"/>
          <w:color w:val="000000" w:themeColor="text1"/>
          <w:sz w:val="24"/>
          <w:szCs w:val="24"/>
        </w:rPr>
        <w:t>u</w:t>
      </w:r>
      <w:r w:rsidR="009F2985" w:rsidRPr="00D51BBF">
        <w:rPr>
          <w:rFonts w:ascii="Times New Roman" w:hAnsi="Times New Roman" w:cs="Times New Roman"/>
          <w:color w:val="000000" w:themeColor="text1"/>
          <w:sz w:val="24"/>
          <w:szCs w:val="24"/>
        </w:rPr>
        <w:t>nd and investment details. The f</w:t>
      </w:r>
      <w:r w:rsidRPr="00D51BBF">
        <w:rPr>
          <w:rFonts w:ascii="Times New Roman" w:hAnsi="Times New Roman" w:cs="Times New Roman"/>
          <w:color w:val="000000" w:themeColor="text1"/>
          <w:sz w:val="24"/>
          <w:szCs w:val="24"/>
        </w:rPr>
        <w:t>und’s easily n</w:t>
      </w:r>
      <w:r w:rsidR="00F14444" w:rsidRPr="00D51BBF">
        <w:rPr>
          <w:rFonts w:ascii="Times New Roman" w:hAnsi="Times New Roman" w:cs="Times New Roman"/>
          <w:color w:val="000000" w:themeColor="text1"/>
          <w:sz w:val="24"/>
          <w:szCs w:val="24"/>
        </w:rPr>
        <w:t>avigable website</w:t>
      </w:r>
      <w:r w:rsidR="00CC055A" w:rsidRPr="00D51BBF">
        <w:rPr>
          <w:rStyle w:val="FootnoteReference"/>
          <w:rFonts w:ascii="Times New Roman" w:hAnsi="Times New Roman" w:cs="Times New Roman"/>
          <w:color w:val="000000" w:themeColor="text1"/>
          <w:sz w:val="24"/>
          <w:szCs w:val="24"/>
        </w:rPr>
        <w:footnoteReference w:id="2"/>
      </w:r>
      <w:r w:rsidR="00F14444" w:rsidRPr="00D51BBF">
        <w:rPr>
          <w:rFonts w:ascii="Times New Roman" w:hAnsi="Times New Roman" w:cs="Times New Roman"/>
          <w:color w:val="000000" w:themeColor="text1"/>
          <w:sz w:val="24"/>
          <w:szCs w:val="24"/>
        </w:rPr>
        <w:t xml:space="preserve"> is up-do-date, </w:t>
      </w:r>
      <w:r w:rsidRPr="00D51BBF">
        <w:rPr>
          <w:rFonts w:ascii="Times New Roman" w:hAnsi="Times New Roman" w:cs="Times New Roman"/>
          <w:color w:val="000000" w:themeColor="text1"/>
          <w:sz w:val="24"/>
          <w:szCs w:val="24"/>
        </w:rPr>
        <w:t>educates the citizen about the f</w:t>
      </w:r>
      <w:r w:rsidR="00EF79C0">
        <w:rPr>
          <w:rStyle w:val="EndnoteReference"/>
          <w:rFonts w:ascii="Times New Roman" w:hAnsi="Times New Roman" w:cs="Times New Roman"/>
          <w:color w:val="000000" w:themeColor="text1"/>
          <w:sz w:val="24"/>
          <w:szCs w:val="24"/>
        </w:rPr>
        <w:endnoteReference w:id="1"/>
      </w:r>
      <w:r w:rsidRPr="00D51BBF">
        <w:rPr>
          <w:rFonts w:ascii="Times New Roman" w:hAnsi="Times New Roman" w:cs="Times New Roman"/>
          <w:color w:val="000000" w:themeColor="text1"/>
          <w:sz w:val="24"/>
          <w:szCs w:val="24"/>
        </w:rPr>
        <w:t>und and permits questions to be asked to which staffers respond individually.</w:t>
      </w:r>
    </w:p>
    <w:p w:rsidR="00EF79C0" w:rsidRDefault="00135467" w:rsidP="00135467">
      <w:pPr>
        <w:rPr>
          <w:rFonts w:ascii="Times New Roman" w:hAnsi="Times New Roman" w:cs="Times New Roman"/>
          <w:color w:val="000000" w:themeColor="text1"/>
          <w:sz w:val="24"/>
          <w:szCs w:val="24"/>
        </w:rPr>
      </w:pPr>
      <w:r w:rsidRPr="00D51BBF">
        <w:rPr>
          <w:rFonts w:ascii="Times New Roman" w:hAnsi="Times New Roman" w:cs="Times New Roman"/>
          <w:color w:val="000000" w:themeColor="text1"/>
          <w:sz w:val="24"/>
          <w:szCs w:val="24"/>
        </w:rPr>
        <w:t>The right to receive dividend payments is determined by the simple requirement of one year of residency in the State of Alaska.  A person may leave the state for purposes of education or military service as long as they do not take up permanent residency elsewhere.  He or she must return to Alaska every two years and remain in the state for at least 72 consecutive hours in order to continue to be eligible for the dividend. The annual citizen dividends, gleaned from inter</w:t>
      </w:r>
      <w:r w:rsidR="00CC055A" w:rsidRPr="00D51BBF">
        <w:rPr>
          <w:rFonts w:ascii="Times New Roman" w:hAnsi="Times New Roman" w:cs="Times New Roman"/>
          <w:color w:val="000000" w:themeColor="text1"/>
          <w:sz w:val="24"/>
          <w:szCs w:val="24"/>
        </w:rPr>
        <w:t>est payments accruing from the f</w:t>
      </w:r>
      <w:r w:rsidRPr="00D51BBF">
        <w:rPr>
          <w:rFonts w:ascii="Times New Roman" w:hAnsi="Times New Roman" w:cs="Times New Roman"/>
          <w:color w:val="000000" w:themeColor="text1"/>
          <w:sz w:val="24"/>
          <w:szCs w:val="24"/>
        </w:rPr>
        <w:t xml:space="preserve">und’s investment portfolio, are sent in checks of equal payments to everyone meeting this requirement. </w:t>
      </w:r>
    </w:p>
    <w:p w:rsidR="00135467" w:rsidRPr="00D51BBF" w:rsidRDefault="00135467" w:rsidP="00135467">
      <w:pPr>
        <w:rPr>
          <w:rFonts w:ascii="Times New Roman" w:hAnsi="Times New Roman" w:cs="Times New Roman"/>
          <w:color w:val="000000" w:themeColor="text1"/>
          <w:sz w:val="24"/>
          <w:szCs w:val="24"/>
        </w:rPr>
      </w:pPr>
      <w:r w:rsidRPr="00D51BBF">
        <w:rPr>
          <w:rFonts w:ascii="Times New Roman" w:hAnsi="Times New Roman" w:cs="Times New Roman"/>
          <w:color w:val="000000" w:themeColor="text1"/>
          <w:sz w:val="24"/>
          <w:szCs w:val="24"/>
        </w:rPr>
        <w:br/>
        <w:t>As the dividends provide a significant amount of addition</w:t>
      </w:r>
      <w:r w:rsidR="00CC055A" w:rsidRPr="00D51BBF">
        <w:rPr>
          <w:rFonts w:ascii="Times New Roman" w:hAnsi="Times New Roman" w:cs="Times New Roman"/>
          <w:color w:val="000000" w:themeColor="text1"/>
          <w:sz w:val="24"/>
          <w:szCs w:val="24"/>
        </w:rPr>
        <w:t>al</w:t>
      </w:r>
      <w:r w:rsidRPr="00D51BBF">
        <w:rPr>
          <w:rFonts w:ascii="Times New Roman" w:hAnsi="Times New Roman" w:cs="Times New Roman"/>
          <w:color w:val="000000" w:themeColor="text1"/>
          <w:sz w:val="24"/>
          <w:szCs w:val="24"/>
        </w:rPr>
        <w:t xml:space="preserve"> income for individuals and families</w:t>
      </w:r>
      <w:r w:rsidR="00891849">
        <w:rPr>
          <w:rFonts w:ascii="Times New Roman" w:hAnsi="Times New Roman" w:cs="Times New Roman"/>
          <w:color w:val="000000" w:themeColor="text1"/>
          <w:sz w:val="24"/>
          <w:szCs w:val="24"/>
        </w:rPr>
        <w:t xml:space="preserve">, </w:t>
      </w:r>
      <w:r w:rsidRPr="00D51BBF">
        <w:rPr>
          <w:rFonts w:ascii="Times New Roman" w:hAnsi="Times New Roman" w:cs="Times New Roman"/>
          <w:color w:val="000000" w:themeColor="text1"/>
          <w:sz w:val="24"/>
          <w:szCs w:val="24"/>
        </w:rPr>
        <w:t xml:space="preserve">there is strong citizen </w:t>
      </w:r>
      <w:r w:rsidR="00CC055A" w:rsidRPr="00D51BBF">
        <w:rPr>
          <w:rFonts w:ascii="Times New Roman" w:hAnsi="Times New Roman" w:cs="Times New Roman"/>
          <w:color w:val="000000" w:themeColor="text1"/>
          <w:sz w:val="24"/>
          <w:szCs w:val="24"/>
        </w:rPr>
        <w:t>interest in and support of the f</w:t>
      </w:r>
      <w:r w:rsidRPr="00D51BBF">
        <w:rPr>
          <w:rFonts w:ascii="Times New Roman" w:hAnsi="Times New Roman" w:cs="Times New Roman"/>
          <w:color w:val="000000" w:themeColor="text1"/>
          <w:sz w:val="24"/>
          <w:szCs w:val="24"/>
        </w:rPr>
        <w:t xml:space="preserve">und. Since the other 75% </w:t>
      </w:r>
      <w:r w:rsidR="00D51BBF">
        <w:rPr>
          <w:rFonts w:ascii="Times New Roman" w:hAnsi="Times New Roman" w:cs="Times New Roman"/>
          <w:color w:val="000000" w:themeColor="text1"/>
          <w:sz w:val="24"/>
          <w:szCs w:val="24"/>
        </w:rPr>
        <w:t xml:space="preserve">of Alaska’s resource royalties </w:t>
      </w:r>
      <w:r w:rsidRPr="00D51BBF">
        <w:rPr>
          <w:rFonts w:ascii="Times New Roman" w:hAnsi="Times New Roman" w:cs="Times New Roman"/>
          <w:color w:val="000000" w:themeColor="text1"/>
          <w:sz w:val="24"/>
          <w:szCs w:val="24"/>
        </w:rPr>
        <w:t>fund a large portion of the state’s budgetary requirements, Alaska has no need for personal income tax, further enhancing the financial capacities of the citizenry.</w:t>
      </w:r>
    </w:p>
    <w:p w:rsidR="00135467" w:rsidRPr="00D51BBF" w:rsidRDefault="00135467" w:rsidP="00135467">
      <w:pPr>
        <w:rPr>
          <w:rFonts w:ascii="Times New Roman" w:hAnsi="Times New Roman" w:cs="Times New Roman"/>
          <w:color w:val="000000" w:themeColor="text1"/>
          <w:sz w:val="24"/>
          <w:szCs w:val="24"/>
        </w:rPr>
      </w:pPr>
      <w:r w:rsidRPr="00D51BBF">
        <w:rPr>
          <w:rFonts w:ascii="Times New Roman" w:hAnsi="Times New Roman" w:cs="Times New Roman"/>
          <w:color w:val="000000" w:themeColor="text1"/>
          <w:sz w:val="24"/>
          <w:szCs w:val="24"/>
        </w:rPr>
        <w:t xml:space="preserve">There are other important elements that enable the </w:t>
      </w:r>
      <w:r w:rsidR="00CC055A" w:rsidRPr="00D51BBF">
        <w:rPr>
          <w:rFonts w:ascii="Times New Roman" w:hAnsi="Times New Roman" w:cs="Times New Roman"/>
          <w:color w:val="000000" w:themeColor="text1"/>
          <w:sz w:val="24"/>
          <w:szCs w:val="24"/>
        </w:rPr>
        <w:t>Permanent Fund Dividend (PFD) program</w:t>
      </w:r>
      <w:r w:rsidRPr="00D51BBF">
        <w:rPr>
          <w:rFonts w:ascii="Times New Roman" w:hAnsi="Times New Roman" w:cs="Times New Roman"/>
          <w:color w:val="000000" w:themeColor="text1"/>
          <w:sz w:val="24"/>
          <w:szCs w:val="24"/>
        </w:rPr>
        <w:t xml:space="preserve"> to function that are rarely mentioned in the literature. Alaska, as is true of most of the “developed” world, has an enabling postal, banking, and information technology infrastructure. Without a postal system capable of </w:t>
      </w:r>
      <w:r w:rsidR="00C827CA" w:rsidRPr="00D51BBF">
        <w:rPr>
          <w:rFonts w:ascii="Times New Roman" w:hAnsi="Times New Roman" w:cs="Times New Roman"/>
          <w:color w:val="000000" w:themeColor="text1"/>
          <w:sz w:val="24"/>
          <w:szCs w:val="24"/>
        </w:rPr>
        <w:t>providing</w:t>
      </w:r>
      <w:r w:rsidRPr="00D51BBF">
        <w:rPr>
          <w:rFonts w:ascii="Times New Roman" w:hAnsi="Times New Roman" w:cs="Times New Roman"/>
          <w:color w:val="000000" w:themeColor="text1"/>
          <w:sz w:val="24"/>
          <w:szCs w:val="24"/>
        </w:rPr>
        <w:t xml:space="preserve"> accura</w:t>
      </w:r>
      <w:r w:rsidR="00D51BBF">
        <w:rPr>
          <w:rFonts w:ascii="Times New Roman" w:hAnsi="Times New Roman" w:cs="Times New Roman"/>
          <w:color w:val="000000" w:themeColor="text1"/>
          <w:sz w:val="24"/>
          <w:szCs w:val="24"/>
        </w:rPr>
        <w:t xml:space="preserve">te name and address information, </w:t>
      </w:r>
      <w:r w:rsidRPr="00D51BBF">
        <w:rPr>
          <w:rFonts w:ascii="Times New Roman" w:hAnsi="Times New Roman" w:cs="Times New Roman"/>
          <w:color w:val="000000" w:themeColor="text1"/>
          <w:sz w:val="24"/>
          <w:szCs w:val="24"/>
        </w:rPr>
        <w:t>surety that checks will be delivered to r</w:t>
      </w:r>
      <w:r w:rsidR="00C827CA" w:rsidRPr="00D51BBF">
        <w:rPr>
          <w:rFonts w:ascii="Times New Roman" w:hAnsi="Times New Roman" w:cs="Times New Roman"/>
          <w:color w:val="000000" w:themeColor="text1"/>
          <w:sz w:val="24"/>
          <w:szCs w:val="24"/>
        </w:rPr>
        <w:t>ecipients in a timely manner, and</w:t>
      </w:r>
      <w:r w:rsidRPr="00D51BBF">
        <w:rPr>
          <w:rFonts w:ascii="Times New Roman" w:hAnsi="Times New Roman" w:cs="Times New Roman"/>
          <w:color w:val="000000" w:themeColor="text1"/>
          <w:sz w:val="24"/>
          <w:szCs w:val="24"/>
        </w:rPr>
        <w:t xml:space="preserve"> a banking system that enables checks to be cashed, the dividend program could not be administered in a fair and efficient manner.  </w:t>
      </w:r>
    </w:p>
    <w:p w:rsidR="00135467" w:rsidRPr="00D51BBF" w:rsidRDefault="00135467" w:rsidP="00135467">
      <w:pPr>
        <w:rPr>
          <w:rFonts w:ascii="Times New Roman" w:hAnsi="Times New Roman" w:cs="Times New Roman"/>
          <w:bCs/>
          <w:iCs/>
          <w:color w:val="000000" w:themeColor="text1"/>
          <w:sz w:val="24"/>
          <w:szCs w:val="24"/>
        </w:rPr>
      </w:pPr>
      <w:r w:rsidRPr="00D51BBF">
        <w:rPr>
          <w:rFonts w:ascii="Times New Roman" w:hAnsi="Times New Roman" w:cs="Times New Roman"/>
          <w:color w:val="000000" w:themeColor="text1"/>
          <w:sz w:val="24"/>
          <w:szCs w:val="24"/>
        </w:rPr>
        <w:t>All of the above features should be replicated when establishing new resource rent based dividend funds. The only exception is that the decision to allocate “</w:t>
      </w:r>
      <w:r w:rsidRPr="00D51BBF">
        <w:rPr>
          <w:rFonts w:ascii="Times New Roman" w:hAnsi="Times New Roman" w:cs="Times New Roman"/>
          <w:bCs/>
          <w:iCs/>
          <w:color w:val="000000" w:themeColor="text1"/>
          <w:sz w:val="24"/>
          <w:szCs w:val="24"/>
        </w:rPr>
        <w:t xml:space="preserve">at least 25%” of resource royalties and rents is specific to the APF. Decisions regarding the exact percentage of how much revenue should be placed in a permanent investment fund versus how much is to be utilized to finance state budgetary needs should be made on a case by case basis, with a requirement that such decisions </w:t>
      </w:r>
      <w:r w:rsidR="00891849">
        <w:rPr>
          <w:rFonts w:ascii="Times New Roman" w:hAnsi="Times New Roman" w:cs="Times New Roman"/>
          <w:bCs/>
          <w:iCs/>
          <w:color w:val="000000" w:themeColor="text1"/>
          <w:sz w:val="24"/>
          <w:szCs w:val="24"/>
        </w:rPr>
        <w:t>be</w:t>
      </w:r>
      <w:r w:rsidRPr="00D51BBF">
        <w:rPr>
          <w:rFonts w:ascii="Times New Roman" w:hAnsi="Times New Roman" w:cs="Times New Roman"/>
          <w:bCs/>
          <w:iCs/>
          <w:color w:val="000000" w:themeColor="text1"/>
          <w:sz w:val="24"/>
          <w:szCs w:val="24"/>
        </w:rPr>
        <w:t xml:space="preserve"> made via  broad citizen input. Additionally, rather than fixing the percentage thereafter, this decision could be reviewed periodically, perhaps every five years, and modifications would then be made, again after a period of broad citizen participation in the decision making process. </w:t>
      </w:r>
    </w:p>
    <w:p w:rsidR="00135467" w:rsidRPr="00D51BBF" w:rsidRDefault="00135467" w:rsidP="00135467">
      <w:pPr>
        <w:rPr>
          <w:rFonts w:ascii="Times New Roman" w:hAnsi="Times New Roman" w:cs="Times New Roman"/>
          <w:bCs/>
          <w:iCs/>
          <w:color w:val="000000" w:themeColor="text1"/>
          <w:sz w:val="24"/>
          <w:szCs w:val="24"/>
        </w:rPr>
      </w:pPr>
      <w:r w:rsidRPr="00D51BBF">
        <w:rPr>
          <w:rFonts w:ascii="Times New Roman" w:hAnsi="Times New Roman" w:cs="Times New Roman"/>
          <w:bCs/>
          <w:iCs/>
          <w:color w:val="000000" w:themeColor="text1"/>
          <w:sz w:val="24"/>
          <w:szCs w:val="24"/>
        </w:rPr>
        <w:t>Citizens should not only play a significant role in determining the percentage of resource rents and royalties to be used to finance government budgetary</w:t>
      </w:r>
      <w:r w:rsidR="00D51BBF">
        <w:rPr>
          <w:rFonts w:ascii="Times New Roman" w:hAnsi="Times New Roman" w:cs="Times New Roman"/>
          <w:bCs/>
          <w:iCs/>
          <w:color w:val="000000" w:themeColor="text1"/>
          <w:sz w:val="24"/>
          <w:szCs w:val="24"/>
        </w:rPr>
        <w:t xml:space="preserve"> needs</w:t>
      </w:r>
      <w:r w:rsidRPr="00D51BBF">
        <w:rPr>
          <w:rFonts w:ascii="Times New Roman" w:hAnsi="Times New Roman" w:cs="Times New Roman"/>
          <w:bCs/>
          <w:iCs/>
          <w:color w:val="000000" w:themeColor="text1"/>
          <w:sz w:val="24"/>
          <w:szCs w:val="24"/>
        </w:rPr>
        <w:t xml:space="preserve"> versus the amount to go into dividends, there should be citizen input in determining those government budgetary needs as well.  We now have working examples of thi</w:t>
      </w:r>
      <w:r w:rsidR="00C827CA" w:rsidRPr="00D51BBF">
        <w:rPr>
          <w:rFonts w:ascii="Times New Roman" w:hAnsi="Times New Roman" w:cs="Times New Roman"/>
          <w:bCs/>
          <w:iCs/>
          <w:color w:val="000000" w:themeColor="text1"/>
          <w:sz w:val="24"/>
          <w:szCs w:val="24"/>
        </w:rPr>
        <w:t>s in the growing Peoples Budget</w:t>
      </w:r>
      <w:r w:rsidRPr="00D51BBF">
        <w:rPr>
          <w:rFonts w:ascii="Times New Roman" w:hAnsi="Times New Roman" w:cs="Times New Roman"/>
          <w:bCs/>
          <w:iCs/>
          <w:color w:val="000000" w:themeColor="text1"/>
          <w:sz w:val="24"/>
          <w:szCs w:val="24"/>
        </w:rPr>
        <w:t xml:space="preserve"> movements in Brazil and elsewhere whereby citizens vote for line items of up</w:t>
      </w:r>
      <w:r w:rsidR="00C827CA" w:rsidRPr="00D51BBF">
        <w:rPr>
          <w:rFonts w:ascii="Times New Roman" w:hAnsi="Times New Roman" w:cs="Times New Roman"/>
          <w:bCs/>
          <w:iCs/>
          <w:color w:val="000000" w:themeColor="text1"/>
          <w:sz w:val="24"/>
          <w:szCs w:val="24"/>
        </w:rPr>
        <w:t xml:space="preserve"> to 50% or more of their city’s</w:t>
      </w:r>
      <w:r w:rsidR="00891849">
        <w:rPr>
          <w:rFonts w:ascii="Times New Roman" w:hAnsi="Times New Roman" w:cs="Times New Roman"/>
          <w:bCs/>
          <w:iCs/>
          <w:color w:val="000000" w:themeColor="text1"/>
          <w:sz w:val="24"/>
          <w:szCs w:val="24"/>
        </w:rPr>
        <w:t xml:space="preserve"> budget</w:t>
      </w:r>
      <w:r w:rsidRPr="00D51BBF">
        <w:rPr>
          <w:rFonts w:ascii="Times New Roman" w:hAnsi="Times New Roman" w:cs="Times New Roman"/>
          <w:bCs/>
          <w:iCs/>
          <w:color w:val="000000" w:themeColor="text1"/>
          <w:sz w:val="24"/>
          <w:szCs w:val="24"/>
        </w:rPr>
        <w:t>.</w:t>
      </w:r>
      <w:r w:rsidR="00CC055A" w:rsidRPr="00D51BBF">
        <w:rPr>
          <w:rStyle w:val="FootnoteReference"/>
          <w:rFonts w:ascii="Times New Roman" w:hAnsi="Times New Roman" w:cs="Times New Roman"/>
          <w:bCs/>
          <w:iCs/>
          <w:color w:val="000000" w:themeColor="text1"/>
          <w:sz w:val="24"/>
          <w:szCs w:val="24"/>
        </w:rPr>
        <w:footnoteReference w:id="3"/>
      </w:r>
      <w:r w:rsidRPr="00D51BBF">
        <w:rPr>
          <w:rFonts w:ascii="Times New Roman" w:hAnsi="Times New Roman" w:cs="Times New Roman"/>
          <w:bCs/>
          <w:iCs/>
          <w:color w:val="000000" w:themeColor="text1"/>
          <w:sz w:val="24"/>
          <w:szCs w:val="24"/>
        </w:rPr>
        <w:t xml:space="preserve"> </w:t>
      </w:r>
    </w:p>
    <w:p w:rsidR="00135467" w:rsidRPr="00D51BBF" w:rsidRDefault="00135467" w:rsidP="00135467">
      <w:pPr>
        <w:rPr>
          <w:rFonts w:ascii="Times New Roman" w:hAnsi="Times New Roman" w:cs="Times New Roman"/>
          <w:color w:val="000000" w:themeColor="text1"/>
          <w:sz w:val="24"/>
          <w:szCs w:val="24"/>
        </w:rPr>
      </w:pPr>
      <w:r w:rsidRPr="00D51BBF">
        <w:rPr>
          <w:rFonts w:ascii="Times New Roman" w:hAnsi="Times New Roman" w:cs="Times New Roman"/>
          <w:color w:val="000000" w:themeColor="text1"/>
          <w:sz w:val="24"/>
          <w:szCs w:val="24"/>
        </w:rPr>
        <w:t>A “best practice” model for future funds would be to monitor and inform regarding the exact mechanisms and formulas used for determining the amount of resource rent being collected. This methodology should also be reviewed and revised on a periodic basis.</w:t>
      </w:r>
      <w:r w:rsidR="00D15F9C" w:rsidRPr="00D51BBF">
        <w:rPr>
          <w:rFonts w:ascii="Times New Roman" w:hAnsi="Times New Roman" w:cs="Times New Roman"/>
          <w:color w:val="000000" w:themeColor="text1"/>
          <w:sz w:val="24"/>
          <w:szCs w:val="24"/>
        </w:rPr>
        <w:t xml:space="preserve"> Best practice models can also be established based upon </w:t>
      </w:r>
      <w:r w:rsidR="00D51BBF">
        <w:rPr>
          <w:rFonts w:ascii="Times New Roman" w:hAnsi="Times New Roman" w:cs="Times New Roman"/>
          <w:color w:val="000000" w:themeColor="text1"/>
          <w:sz w:val="24"/>
          <w:szCs w:val="24"/>
        </w:rPr>
        <w:t>the experiences</w:t>
      </w:r>
      <w:r w:rsidR="00D15F9C" w:rsidRPr="00D51BBF">
        <w:rPr>
          <w:rFonts w:ascii="Times New Roman" w:hAnsi="Times New Roman" w:cs="Times New Roman"/>
          <w:color w:val="000000" w:themeColor="text1"/>
          <w:sz w:val="24"/>
          <w:szCs w:val="24"/>
        </w:rPr>
        <w:t xml:space="preserve"> of other currently functioning resource rent or “sovereign wealth” funds.</w:t>
      </w:r>
      <w:r w:rsidR="00D15F9C" w:rsidRPr="00D51BBF">
        <w:rPr>
          <w:rStyle w:val="FootnoteReference"/>
          <w:rFonts w:ascii="Times New Roman" w:hAnsi="Times New Roman" w:cs="Times New Roman"/>
          <w:color w:val="000000" w:themeColor="text1"/>
          <w:sz w:val="24"/>
          <w:szCs w:val="24"/>
        </w:rPr>
        <w:footnoteReference w:id="4"/>
      </w:r>
    </w:p>
    <w:p w:rsidR="00135467" w:rsidRPr="00D51BBF" w:rsidRDefault="00135467" w:rsidP="00135467">
      <w:pPr>
        <w:autoSpaceDE w:val="0"/>
        <w:autoSpaceDN w:val="0"/>
        <w:adjustRightInd w:val="0"/>
        <w:spacing w:after="0" w:line="240" w:lineRule="auto"/>
        <w:rPr>
          <w:rFonts w:ascii="Times New Roman" w:hAnsi="Times New Roman" w:cs="Times New Roman"/>
          <w:color w:val="000000" w:themeColor="text1"/>
          <w:sz w:val="24"/>
          <w:szCs w:val="24"/>
        </w:rPr>
      </w:pPr>
      <w:r w:rsidRPr="00D51BBF">
        <w:rPr>
          <w:rFonts w:ascii="Times New Roman" w:hAnsi="Times New Roman" w:cs="Times New Roman"/>
          <w:color w:val="000000" w:themeColor="text1"/>
          <w:sz w:val="24"/>
          <w:szCs w:val="24"/>
        </w:rPr>
        <w:t>Since the establishment of the APF more than 30 years ago there have been conceptual breakthroughs regarding how this type of fund fits in with what could be called a “holistic integrated green tax shift” paradigm of public finance.</w:t>
      </w:r>
      <w:r w:rsidR="00C95C7D" w:rsidRPr="00D51BBF">
        <w:rPr>
          <w:rStyle w:val="FootnoteReference"/>
          <w:rFonts w:ascii="Times New Roman" w:hAnsi="Times New Roman" w:cs="Times New Roman"/>
          <w:color w:val="000000" w:themeColor="text1"/>
          <w:sz w:val="24"/>
          <w:szCs w:val="24"/>
        </w:rPr>
        <w:footnoteReference w:id="5"/>
      </w:r>
      <w:r w:rsidRPr="00D51BBF">
        <w:rPr>
          <w:rFonts w:ascii="Times New Roman" w:hAnsi="Times New Roman" w:cs="Times New Roman"/>
          <w:color w:val="000000" w:themeColor="text1"/>
          <w:sz w:val="24"/>
          <w:szCs w:val="24"/>
        </w:rPr>
        <w:t xml:space="preserve"> One of the best models was first put forth by Northwest Environment Watch (now Sigh</w:t>
      </w:r>
      <w:r w:rsidR="00246FCC" w:rsidRPr="00D51BBF">
        <w:rPr>
          <w:rFonts w:ascii="Times New Roman" w:hAnsi="Times New Roman" w:cs="Times New Roman"/>
          <w:color w:val="000000" w:themeColor="text1"/>
          <w:sz w:val="24"/>
          <w:szCs w:val="24"/>
        </w:rPr>
        <w:t xml:space="preserve">tline Institute) and included </w:t>
      </w:r>
      <w:r w:rsidRPr="00D51BBF">
        <w:rPr>
          <w:rFonts w:ascii="Times New Roman" w:hAnsi="Times New Roman" w:cs="Times New Roman"/>
          <w:color w:val="000000" w:themeColor="text1"/>
          <w:sz w:val="24"/>
          <w:szCs w:val="24"/>
        </w:rPr>
        <w:t xml:space="preserve">several other resource rent domains, such as taxing emissions into air, water or soil; surface land sites according to land value; charging fair fees for water, timber, fish and minerals extraction. The goal is to “tax bads, not goods” </w:t>
      </w:r>
      <w:r w:rsidR="00891849">
        <w:rPr>
          <w:rFonts w:ascii="Times New Roman" w:hAnsi="Times New Roman" w:cs="Times New Roman"/>
          <w:color w:val="000000" w:themeColor="text1"/>
          <w:sz w:val="24"/>
          <w:szCs w:val="24"/>
        </w:rPr>
        <w:t>by</w:t>
      </w:r>
      <w:r w:rsidRPr="00D51BBF">
        <w:rPr>
          <w:rFonts w:ascii="Times New Roman" w:hAnsi="Times New Roman" w:cs="Times New Roman"/>
          <w:color w:val="000000" w:themeColor="text1"/>
          <w:sz w:val="24"/>
          <w:szCs w:val="24"/>
        </w:rPr>
        <w:t xml:space="preserve"> utilizing the incentive mechanisms of tax policy to augment social and environmental betterment. The Vermont Green Tax and Common Assets Project provides</w:t>
      </w:r>
      <w:r w:rsidR="00891849">
        <w:rPr>
          <w:rFonts w:ascii="Times New Roman" w:hAnsi="Times New Roman" w:cs="Times New Roman"/>
          <w:color w:val="000000" w:themeColor="text1"/>
          <w:sz w:val="24"/>
          <w:szCs w:val="24"/>
        </w:rPr>
        <w:t xml:space="preserve"> a more recent and impressively </w:t>
      </w:r>
      <w:r w:rsidRPr="00D51BBF">
        <w:rPr>
          <w:rFonts w:ascii="Times New Roman" w:hAnsi="Times New Roman" w:cs="Times New Roman"/>
          <w:color w:val="000000" w:themeColor="text1"/>
          <w:sz w:val="24"/>
          <w:szCs w:val="24"/>
        </w:rPr>
        <w:t>detailed green tax shift model.</w:t>
      </w:r>
      <w:r w:rsidRPr="00D51BBF">
        <w:rPr>
          <w:rStyle w:val="FootnoteReference"/>
          <w:rFonts w:ascii="Times New Roman" w:hAnsi="Times New Roman" w:cs="Times New Roman"/>
          <w:color w:val="000000" w:themeColor="text1"/>
          <w:sz w:val="24"/>
          <w:szCs w:val="24"/>
        </w:rPr>
        <w:footnoteReference w:id="6"/>
      </w:r>
    </w:p>
    <w:p w:rsidR="00135467" w:rsidRPr="00D51BBF" w:rsidRDefault="00135467" w:rsidP="00135467">
      <w:pPr>
        <w:autoSpaceDE w:val="0"/>
        <w:autoSpaceDN w:val="0"/>
        <w:adjustRightInd w:val="0"/>
        <w:spacing w:after="0" w:line="240" w:lineRule="auto"/>
        <w:rPr>
          <w:rFonts w:ascii="Times New Roman" w:hAnsi="Times New Roman" w:cs="Times New Roman"/>
          <w:color w:val="000000" w:themeColor="text1"/>
          <w:sz w:val="24"/>
          <w:szCs w:val="24"/>
        </w:rPr>
      </w:pPr>
    </w:p>
    <w:p w:rsidR="00135467" w:rsidRPr="00D51BBF" w:rsidRDefault="00135467" w:rsidP="00135467">
      <w:pPr>
        <w:rPr>
          <w:rFonts w:ascii="Times New Roman" w:hAnsi="Times New Roman" w:cs="Times New Roman"/>
          <w:color w:val="000000" w:themeColor="text1"/>
          <w:sz w:val="24"/>
          <w:szCs w:val="24"/>
        </w:rPr>
      </w:pPr>
      <w:r w:rsidRPr="00D51BBF">
        <w:rPr>
          <w:rFonts w:ascii="Times New Roman" w:hAnsi="Times New Roman" w:cs="Times New Roman"/>
          <w:color w:val="000000" w:themeColor="text1"/>
          <w:sz w:val="24"/>
          <w:szCs w:val="24"/>
        </w:rPr>
        <w:t xml:space="preserve">Those leading movements to establish future resource rent funds should familiarize themselves with </w:t>
      </w:r>
      <w:r w:rsidR="00891849">
        <w:rPr>
          <w:rFonts w:ascii="Times New Roman" w:hAnsi="Times New Roman" w:cs="Times New Roman"/>
          <w:color w:val="000000" w:themeColor="text1"/>
          <w:sz w:val="24"/>
          <w:szCs w:val="24"/>
        </w:rPr>
        <w:t>these</w:t>
      </w:r>
      <w:r w:rsidRPr="00D51BBF">
        <w:rPr>
          <w:rFonts w:ascii="Times New Roman" w:hAnsi="Times New Roman" w:cs="Times New Roman"/>
          <w:color w:val="000000" w:themeColor="text1"/>
          <w:sz w:val="24"/>
          <w:szCs w:val="24"/>
        </w:rPr>
        <w:t xml:space="preserve"> holistic and integrated approaches </w:t>
      </w:r>
      <w:r w:rsidR="00891849">
        <w:rPr>
          <w:rFonts w:ascii="Times New Roman" w:hAnsi="Times New Roman" w:cs="Times New Roman"/>
          <w:color w:val="000000" w:themeColor="text1"/>
          <w:sz w:val="24"/>
          <w:szCs w:val="24"/>
        </w:rPr>
        <w:t xml:space="preserve">in order to bring to the fore the </w:t>
      </w:r>
      <w:r w:rsidRPr="00D51BBF">
        <w:rPr>
          <w:rFonts w:ascii="Times New Roman" w:hAnsi="Times New Roman" w:cs="Times New Roman"/>
          <w:color w:val="000000" w:themeColor="text1"/>
          <w:sz w:val="24"/>
          <w:szCs w:val="24"/>
        </w:rPr>
        <w:t xml:space="preserve"> new economics paradigm for public finance policy. Once the blueprint is in place conceptually, the details for implementation can be fleshed out step by step and stage by stage.</w:t>
      </w:r>
      <w:r w:rsidR="00FF4B5A" w:rsidRPr="00D51BBF">
        <w:rPr>
          <w:rFonts w:ascii="Times New Roman" w:hAnsi="Times New Roman" w:cs="Times New Roman"/>
          <w:color w:val="000000" w:themeColor="text1"/>
          <w:sz w:val="24"/>
          <w:szCs w:val="24"/>
        </w:rPr>
        <w:t xml:space="preserve"> Here is a diagram of the proposed “green tax shift” for the Pacific Northwest as put forth by Sightline Institute:</w:t>
      </w:r>
    </w:p>
    <w:p w:rsidR="00FF4B5A" w:rsidRPr="00D51BBF" w:rsidRDefault="00FF4B5A" w:rsidP="00135467">
      <w:pPr>
        <w:rPr>
          <w:rFonts w:ascii="Times New Roman" w:hAnsi="Times New Roman" w:cs="Times New Roman"/>
          <w:color w:val="000000" w:themeColor="text1"/>
          <w:sz w:val="24"/>
          <w:szCs w:val="24"/>
        </w:rPr>
      </w:pPr>
      <w:r w:rsidRPr="00D51BBF">
        <w:rPr>
          <w:rFonts w:ascii="Times New Roman" w:hAnsi="Times New Roman" w:cs="Times New Roman"/>
          <w:noProof/>
          <w:color w:val="000000" w:themeColor="text1"/>
          <w:sz w:val="24"/>
          <w:szCs w:val="24"/>
        </w:rPr>
        <w:drawing>
          <wp:inline distT="0" distB="0" distL="0" distR="0">
            <wp:extent cx="4017818" cy="2379160"/>
            <wp:effectExtent l="19050" t="0" r="1732" b="0"/>
            <wp:docPr id="5" name="Picture 5" descr="Tax Shift Pie Diagrams4"/>
            <wp:cNvGraphicFramePr/>
            <a:graphic xmlns:a="http://schemas.openxmlformats.org/drawingml/2006/main">
              <a:graphicData uri="http://schemas.openxmlformats.org/drawingml/2006/picture">
                <pic:pic xmlns:pic="http://schemas.openxmlformats.org/drawingml/2006/picture">
                  <pic:nvPicPr>
                    <pic:cNvPr id="23557" name="Picture 5" descr="Tax Shift Pie Diagrams4"/>
                    <pic:cNvPicPr>
                      <a:picLocks noChangeAspect="1" noChangeArrowheads="1"/>
                    </pic:cNvPicPr>
                  </pic:nvPicPr>
                  <pic:blipFill>
                    <a:blip r:embed="rId8" cstate="print"/>
                    <a:srcRect/>
                    <a:stretch>
                      <a:fillRect/>
                    </a:stretch>
                  </pic:blipFill>
                  <pic:spPr bwMode="auto">
                    <a:xfrm>
                      <a:off x="0" y="0"/>
                      <a:ext cx="4035315" cy="2389521"/>
                    </a:xfrm>
                    <a:prstGeom prst="rect">
                      <a:avLst/>
                    </a:prstGeom>
                    <a:noFill/>
                    <a:ln w="9525">
                      <a:noFill/>
                      <a:miter lim="800000"/>
                      <a:headEnd/>
                      <a:tailEnd/>
                    </a:ln>
                  </pic:spPr>
                </pic:pic>
              </a:graphicData>
            </a:graphic>
          </wp:inline>
        </w:drawing>
      </w:r>
    </w:p>
    <w:p w:rsidR="00135467" w:rsidRPr="00D51BBF" w:rsidRDefault="00135467" w:rsidP="00135467">
      <w:pPr>
        <w:rPr>
          <w:rFonts w:ascii="Times New Roman" w:hAnsi="Times New Roman" w:cs="Times New Roman"/>
          <w:color w:val="000000" w:themeColor="text1"/>
          <w:sz w:val="24"/>
          <w:szCs w:val="24"/>
        </w:rPr>
      </w:pPr>
      <w:r w:rsidRPr="00D51BBF">
        <w:rPr>
          <w:rFonts w:ascii="Times New Roman" w:hAnsi="Times New Roman" w:cs="Times New Roman"/>
          <w:color w:val="000000" w:themeColor="text1"/>
          <w:sz w:val="24"/>
          <w:szCs w:val="24"/>
        </w:rPr>
        <w:t>The lack of a holistic green tax shift paradigm accounts for weaknesses a</w:t>
      </w:r>
      <w:r w:rsidR="00785262" w:rsidRPr="00D51BBF">
        <w:rPr>
          <w:rFonts w:ascii="Times New Roman" w:hAnsi="Times New Roman" w:cs="Times New Roman"/>
          <w:color w:val="000000" w:themeColor="text1"/>
          <w:sz w:val="24"/>
          <w:szCs w:val="24"/>
        </w:rPr>
        <w:t>nd flaws in the APF model. The f</w:t>
      </w:r>
      <w:r w:rsidRPr="00D51BBF">
        <w:rPr>
          <w:rFonts w:ascii="Times New Roman" w:hAnsi="Times New Roman" w:cs="Times New Roman"/>
          <w:color w:val="000000" w:themeColor="text1"/>
          <w:sz w:val="24"/>
          <w:szCs w:val="24"/>
        </w:rPr>
        <w:t xml:space="preserve">und is frequently criticized by environmentalists who maintain that </w:t>
      </w:r>
      <w:r w:rsidR="00891849">
        <w:rPr>
          <w:rFonts w:ascii="Times New Roman" w:hAnsi="Times New Roman" w:cs="Times New Roman"/>
          <w:color w:val="000000" w:themeColor="text1"/>
          <w:sz w:val="24"/>
          <w:szCs w:val="24"/>
        </w:rPr>
        <w:t>distributing</w:t>
      </w:r>
      <w:r w:rsidRPr="00D51BBF">
        <w:rPr>
          <w:rFonts w:ascii="Times New Roman" w:hAnsi="Times New Roman" w:cs="Times New Roman"/>
          <w:color w:val="000000" w:themeColor="text1"/>
          <w:sz w:val="24"/>
          <w:szCs w:val="24"/>
        </w:rPr>
        <w:t xml:space="preserve"> dividends sourced from petroleum aligns the people with the interests of those engaged in polluting, non-renewable extractive industries. There is likely some truth in this as the preservation of Alaska’s natural heritage, such as the </w:t>
      </w:r>
      <w:r w:rsidR="00476059" w:rsidRPr="00D51BBF">
        <w:rPr>
          <w:rFonts w:ascii="Times New Roman" w:hAnsi="Times New Roman" w:cs="Times New Roman"/>
          <w:color w:val="000000" w:themeColor="text1"/>
          <w:sz w:val="24"/>
          <w:szCs w:val="24"/>
        </w:rPr>
        <w:t xml:space="preserve">Alaska National </w:t>
      </w:r>
      <w:r w:rsidR="00246FCC" w:rsidRPr="00D51BBF">
        <w:rPr>
          <w:rFonts w:ascii="Times New Roman" w:hAnsi="Times New Roman" w:cs="Times New Roman"/>
          <w:color w:val="000000" w:themeColor="text1"/>
          <w:sz w:val="24"/>
          <w:szCs w:val="24"/>
        </w:rPr>
        <w:t>Wildlife Refuge</w:t>
      </w:r>
      <w:r w:rsidRPr="00D51BBF">
        <w:rPr>
          <w:rFonts w:ascii="Times New Roman" w:hAnsi="Times New Roman" w:cs="Times New Roman"/>
          <w:color w:val="000000" w:themeColor="text1"/>
          <w:sz w:val="24"/>
          <w:szCs w:val="24"/>
        </w:rPr>
        <w:t xml:space="preserve">, could reduce the opportunity for Alaskans to increase the APF and hence the amount of their </w:t>
      </w:r>
      <w:r w:rsidR="00891849">
        <w:rPr>
          <w:rFonts w:ascii="Times New Roman" w:hAnsi="Times New Roman" w:cs="Times New Roman"/>
          <w:color w:val="000000" w:themeColor="text1"/>
          <w:sz w:val="24"/>
          <w:szCs w:val="24"/>
        </w:rPr>
        <w:t>dividends</w:t>
      </w:r>
      <w:r w:rsidRPr="00D51BBF">
        <w:rPr>
          <w:rFonts w:ascii="Times New Roman" w:hAnsi="Times New Roman" w:cs="Times New Roman"/>
          <w:color w:val="000000" w:themeColor="text1"/>
          <w:sz w:val="24"/>
          <w:szCs w:val="24"/>
        </w:rPr>
        <w:t xml:space="preserve">. A carbon tax or other green tax on the environmental degradation often caused by resource extractive industries might also reduce the incentives of corporations to operate in the state. But without a commitment to shifting to renewable forms of energy, Alaskans may end up with higher energy costs and worsened environmental conditions in future. </w:t>
      </w:r>
      <w:r w:rsidR="00B55C7A" w:rsidRPr="00D51BBF">
        <w:rPr>
          <w:rFonts w:ascii="Times New Roman" w:hAnsi="Times New Roman" w:cs="Times New Roman"/>
          <w:color w:val="000000" w:themeColor="text1"/>
          <w:sz w:val="24"/>
          <w:szCs w:val="24"/>
        </w:rPr>
        <w:t>Utilizing a substantial portion of oil rent to invest in</w:t>
      </w:r>
      <w:r w:rsidR="00891849">
        <w:rPr>
          <w:rFonts w:ascii="Times New Roman" w:hAnsi="Times New Roman" w:cs="Times New Roman"/>
          <w:color w:val="000000" w:themeColor="text1"/>
          <w:sz w:val="24"/>
          <w:szCs w:val="24"/>
        </w:rPr>
        <w:t xml:space="preserve"> the shift to renewable energy</w:t>
      </w:r>
      <w:r w:rsidR="00B55C7A" w:rsidRPr="00D51BBF">
        <w:rPr>
          <w:rFonts w:ascii="Times New Roman" w:hAnsi="Times New Roman" w:cs="Times New Roman"/>
          <w:color w:val="000000" w:themeColor="text1"/>
          <w:sz w:val="24"/>
          <w:szCs w:val="24"/>
        </w:rPr>
        <w:t>, either developed by the state or via low interest loans to the private sector, would address this concern.</w:t>
      </w:r>
    </w:p>
    <w:p w:rsidR="00A91D6A" w:rsidRPr="00D51BBF" w:rsidRDefault="00135467" w:rsidP="00135467">
      <w:pPr>
        <w:rPr>
          <w:rFonts w:ascii="Times New Roman" w:hAnsi="Times New Roman" w:cs="Times New Roman"/>
          <w:color w:val="000000" w:themeColor="text1"/>
          <w:sz w:val="24"/>
          <w:szCs w:val="24"/>
        </w:rPr>
      </w:pPr>
      <w:r w:rsidRPr="00D51BBF">
        <w:rPr>
          <w:rFonts w:ascii="Times New Roman" w:hAnsi="Times New Roman" w:cs="Times New Roman"/>
          <w:color w:val="000000" w:themeColor="text1"/>
          <w:sz w:val="24"/>
          <w:szCs w:val="24"/>
        </w:rPr>
        <w:t xml:space="preserve">Capturing surface land rent for funding </w:t>
      </w:r>
      <w:r w:rsidR="00891849">
        <w:rPr>
          <w:rFonts w:ascii="Times New Roman" w:hAnsi="Times New Roman" w:cs="Times New Roman"/>
          <w:color w:val="000000" w:themeColor="text1"/>
          <w:sz w:val="24"/>
          <w:szCs w:val="24"/>
        </w:rPr>
        <w:t>dividends</w:t>
      </w:r>
      <w:r w:rsidRPr="00D51BBF">
        <w:rPr>
          <w:rFonts w:ascii="Times New Roman" w:hAnsi="Times New Roman" w:cs="Times New Roman"/>
          <w:color w:val="000000" w:themeColor="text1"/>
          <w:sz w:val="24"/>
          <w:szCs w:val="24"/>
        </w:rPr>
        <w:t xml:space="preserve"> might be a much better approach overall. Surface land is of course, also a commons. Land value taxation (capture) policy can be understood as a fee for private enclosure of surface land.</w:t>
      </w:r>
      <w:r w:rsidR="00B55C7A" w:rsidRPr="00D51BBF">
        <w:rPr>
          <w:rFonts w:ascii="Times New Roman" w:hAnsi="Times New Roman" w:cs="Times New Roman"/>
          <w:color w:val="000000" w:themeColor="text1"/>
          <w:sz w:val="24"/>
          <w:szCs w:val="24"/>
        </w:rPr>
        <w:t xml:space="preserve"> </w:t>
      </w:r>
      <w:r w:rsidRPr="00D51BBF">
        <w:rPr>
          <w:rFonts w:ascii="Times New Roman" w:hAnsi="Times New Roman" w:cs="Times New Roman"/>
          <w:color w:val="000000" w:themeColor="text1"/>
          <w:sz w:val="24"/>
          <w:szCs w:val="24"/>
        </w:rPr>
        <w:t>As demand increases for prime land sites the value of land steadily increases. As a community grows, as schools are built, and as transportation, sanitation, and other infrastructure is put in place, the value of land increases.</w:t>
      </w:r>
      <w:r w:rsidR="00A57390">
        <w:rPr>
          <w:rStyle w:val="FootnoteReference"/>
          <w:rFonts w:ascii="Times New Roman" w:hAnsi="Times New Roman" w:cs="Times New Roman"/>
          <w:color w:val="000000" w:themeColor="text1"/>
          <w:sz w:val="24"/>
          <w:szCs w:val="24"/>
        </w:rPr>
        <w:footnoteReference w:id="7"/>
      </w:r>
      <w:r w:rsidRPr="00D51BBF">
        <w:rPr>
          <w:rFonts w:ascii="Times New Roman" w:hAnsi="Times New Roman" w:cs="Times New Roman"/>
          <w:color w:val="000000" w:themeColor="text1"/>
          <w:sz w:val="24"/>
          <w:szCs w:val="24"/>
        </w:rPr>
        <w:t xml:space="preserve"> </w:t>
      </w:r>
    </w:p>
    <w:p w:rsidR="00135467" w:rsidRPr="00D51BBF" w:rsidRDefault="00135467" w:rsidP="00135467">
      <w:pPr>
        <w:rPr>
          <w:rFonts w:ascii="Times New Roman" w:hAnsi="Times New Roman" w:cs="Times New Roman"/>
          <w:color w:val="000000" w:themeColor="text1"/>
          <w:sz w:val="24"/>
          <w:szCs w:val="24"/>
        </w:rPr>
      </w:pPr>
      <w:r w:rsidRPr="00D51BBF">
        <w:rPr>
          <w:rFonts w:ascii="Times New Roman" w:hAnsi="Times New Roman" w:cs="Times New Roman"/>
          <w:color w:val="000000" w:themeColor="text1"/>
          <w:sz w:val="24"/>
          <w:szCs w:val="24"/>
        </w:rPr>
        <w:t xml:space="preserve">However, in most places in </w:t>
      </w:r>
      <w:r w:rsidR="00B55C7A" w:rsidRPr="00D51BBF">
        <w:rPr>
          <w:rFonts w:ascii="Times New Roman" w:hAnsi="Times New Roman" w:cs="Times New Roman"/>
          <w:color w:val="000000" w:themeColor="text1"/>
          <w:sz w:val="24"/>
          <w:szCs w:val="24"/>
        </w:rPr>
        <w:t>the world this increase in land values</w:t>
      </w:r>
      <w:r w:rsidRPr="00D51BBF">
        <w:rPr>
          <w:rFonts w:ascii="Times New Roman" w:hAnsi="Times New Roman" w:cs="Times New Roman"/>
          <w:color w:val="000000" w:themeColor="text1"/>
          <w:sz w:val="24"/>
          <w:szCs w:val="24"/>
        </w:rPr>
        <w:t xml:space="preserve"> </w:t>
      </w:r>
      <w:r w:rsidR="00D2560F" w:rsidRPr="00D51BBF">
        <w:rPr>
          <w:rFonts w:ascii="Times New Roman" w:hAnsi="Times New Roman" w:cs="Times New Roman"/>
          <w:color w:val="000000" w:themeColor="text1"/>
          <w:sz w:val="24"/>
          <w:szCs w:val="24"/>
        </w:rPr>
        <w:t>accrues to</w:t>
      </w:r>
      <w:r w:rsidRPr="00D51BBF">
        <w:rPr>
          <w:rFonts w:ascii="Times New Roman" w:hAnsi="Times New Roman" w:cs="Times New Roman"/>
          <w:color w:val="000000" w:themeColor="text1"/>
          <w:sz w:val="24"/>
          <w:szCs w:val="24"/>
        </w:rPr>
        <w:t xml:space="preserve"> land owners</w:t>
      </w:r>
      <w:r w:rsidR="00891849">
        <w:rPr>
          <w:rFonts w:ascii="Times New Roman" w:hAnsi="Times New Roman" w:cs="Times New Roman"/>
          <w:color w:val="000000" w:themeColor="text1"/>
          <w:sz w:val="24"/>
          <w:szCs w:val="24"/>
        </w:rPr>
        <w:t xml:space="preserve"> only, while those seeking to buy land must pay an ever higher price and face higher mortgage payments as a result</w:t>
      </w:r>
      <w:r w:rsidRPr="00D51BBF">
        <w:rPr>
          <w:rFonts w:ascii="Times New Roman" w:hAnsi="Times New Roman" w:cs="Times New Roman"/>
          <w:color w:val="000000" w:themeColor="text1"/>
          <w:sz w:val="24"/>
          <w:szCs w:val="24"/>
        </w:rPr>
        <w:t xml:space="preserve">. The better the location or the greater the amount of land owned, the more landowners benefit. </w:t>
      </w:r>
      <w:r w:rsidR="00672F3E">
        <w:rPr>
          <w:rFonts w:ascii="Times New Roman" w:hAnsi="Times New Roman" w:cs="Times New Roman"/>
          <w:color w:val="000000" w:themeColor="text1"/>
          <w:sz w:val="24"/>
          <w:szCs w:val="24"/>
        </w:rPr>
        <w:t xml:space="preserve">Landowners </w:t>
      </w:r>
      <w:r w:rsidRPr="00D51BBF">
        <w:rPr>
          <w:rFonts w:ascii="Times New Roman" w:hAnsi="Times New Roman" w:cs="Times New Roman"/>
          <w:color w:val="000000" w:themeColor="text1"/>
          <w:sz w:val="24"/>
          <w:szCs w:val="24"/>
        </w:rPr>
        <w:t xml:space="preserve">may be local </w:t>
      </w:r>
      <w:r w:rsidR="00672F3E">
        <w:rPr>
          <w:rFonts w:ascii="Times New Roman" w:hAnsi="Times New Roman" w:cs="Times New Roman"/>
          <w:color w:val="000000" w:themeColor="text1"/>
          <w:sz w:val="24"/>
          <w:szCs w:val="24"/>
        </w:rPr>
        <w:t>or absentee, individuals or</w:t>
      </w:r>
      <w:r w:rsidR="00471609" w:rsidRPr="00D51BBF">
        <w:rPr>
          <w:rFonts w:ascii="Times New Roman" w:hAnsi="Times New Roman" w:cs="Times New Roman"/>
          <w:color w:val="000000" w:themeColor="text1"/>
          <w:sz w:val="24"/>
          <w:szCs w:val="24"/>
        </w:rPr>
        <w:t xml:space="preserve"> financial services, such as real estate investment trusts</w:t>
      </w:r>
      <w:r w:rsidR="00672F3E">
        <w:rPr>
          <w:rFonts w:ascii="Times New Roman" w:hAnsi="Times New Roman" w:cs="Times New Roman"/>
          <w:color w:val="000000" w:themeColor="text1"/>
          <w:sz w:val="24"/>
          <w:szCs w:val="24"/>
        </w:rPr>
        <w:t xml:space="preserve"> </w:t>
      </w:r>
      <w:r w:rsidRPr="00D51BBF">
        <w:rPr>
          <w:rFonts w:ascii="Times New Roman" w:hAnsi="Times New Roman" w:cs="Times New Roman"/>
          <w:color w:val="000000" w:themeColor="text1"/>
          <w:sz w:val="24"/>
          <w:szCs w:val="24"/>
        </w:rPr>
        <w:t>hold</w:t>
      </w:r>
      <w:r w:rsidR="00672F3E">
        <w:rPr>
          <w:rFonts w:ascii="Times New Roman" w:hAnsi="Times New Roman" w:cs="Times New Roman"/>
          <w:color w:val="000000" w:themeColor="text1"/>
          <w:sz w:val="24"/>
          <w:szCs w:val="24"/>
        </w:rPr>
        <w:t>ing</w:t>
      </w:r>
      <w:r w:rsidRPr="00D51BBF">
        <w:rPr>
          <w:rFonts w:ascii="Times New Roman" w:hAnsi="Times New Roman" w:cs="Times New Roman"/>
          <w:color w:val="000000" w:themeColor="text1"/>
          <w:sz w:val="24"/>
          <w:szCs w:val="24"/>
        </w:rPr>
        <w:t xml:space="preserve"> land for the purposes of</w:t>
      </w:r>
      <w:r w:rsidR="00B55C7A" w:rsidRPr="00D51BBF">
        <w:rPr>
          <w:rFonts w:ascii="Times New Roman" w:hAnsi="Times New Roman" w:cs="Times New Roman"/>
          <w:color w:val="000000" w:themeColor="text1"/>
          <w:sz w:val="24"/>
          <w:szCs w:val="24"/>
        </w:rPr>
        <w:t xml:space="preserve"> profiteering and</w:t>
      </w:r>
      <w:r w:rsidRPr="00D51BBF">
        <w:rPr>
          <w:rFonts w:ascii="Times New Roman" w:hAnsi="Times New Roman" w:cs="Times New Roman"/>
          <w:color w:val="000000" w:themeColor="text1"/>
          <w:sz w:val="24"/>
          <w:szCs w:val="24"/>
        </w:rPr>
        <w:t xml:space="preserve"> speculation. </w:t>
      </w:r>
      <w:r w:rsidR="00D2560F" w:rsidRPr="00D51BBF">
        <w:rPr>
          <w:rFonts w:ascii="Times New Roman" w:hAnsi="Times New Roman" w:cs="Times New Roman"/>
          <w:color w:val="000000" w:themeColor="text1"/>
          <w:sz w:val="24"/>
          <w:szCs w:val="24"/>
        </w:rPr>
        <w:t>To create a fair economy we must realize that land value is socially created</w:t>
      </w:r>
      <w:r w:rsidR="00672F3E">
        <w:rPr>
          <w:rFonts w:ascii="Times New Roman" w:hAnsi="Times New Roman" w:cs="Times New Roman"/>
          <w:color w:val="000000" w:themeColor="text1"/>
          <w:sz w:val="24"/>
          <w:szCs w:val="24"/>
        </w:rPr>
        <w:t>, and thus a commons asset,</w:t>
      </w:r>
      <w:r w:rsidR="00D2560F" w:rsidRPr="00D51BBF">
        <w:rPr>
          <w:rFonts w:ascii="Times New Roman" w:hAnsi="Times New Roman" w:cs="Times New Roman"/>
          <w:color w:val="000000" w:themeColor="text1"/>
          <w:sz w:val="24"/>
          <w:szCs w:val="24"/>
        </w:rPr>
        <w:t xml:space="preserve"> and should </w:t>
      </w:r>
      <w:r w:rsidR="00672F3E">
        <w:rPr>
          <w:rFonts w:ascii="Times New Roman" w:hAnsi="Times New Roman" w:cs="Times New Roman"/>
          <w:color w:val="000000" w:themeColor="text1"/>
          <w:sz w:val="24"/>
          <w:szCs w:val="24"/>
        </w:rPr>
        <w:t xml:space="preserve">be </w:t>
      </w:r>
      <w:r w:rsidR="00D2560F" w:rsidRPr="00D51BBF">
        <w:rPr>
          <w:rFonts w:ascii="Times New Roman" w:hAnsi="Times New Roman" w:cs="Times New Roman"/>
          <w:color w:val="000000" w:themeColor="text1"/>
          <w:sz w:val="24"/>
          <w:szCs w:val="24"/>
        </w:rPr>
        <w:t xml:space="preserve">used to benefit society as a whole via financing public goods and services, </w:t>
      </w:r>
      <w:r w:rsidR="00672F3E">
        <w:rPr>
          <w:rFonts w:ascii="Times New Roman" w:hAnsi="Times New Roman" w:cs="Times New Roman"/>
          <w:color w:val="000000" w:themeColor="text1"/>
          <w:sz w:val="24"/>
          <w:szCs w:val="24"/>
        </w:rPr>
        <w:t xml:space="preserve">direct </w:t>
      </w:r>
      <w:r w:rsidR="00D2560F" w:rsidRPr="00D51BBF">
        <w:rPr>
          <w:rFonts w:ascii="Times New Roman" w:hAnsi="Times New Roman" w:cs="Times New Roman"/>
          <w:color w:val="000000" w:themeColor="text1"/>
          <w:sz w:val="24"/>
          <w:szCs w:val="24"/>
        </w:rPr>
        <w:t>dividends, or some combination of the two.</w:t>
      </w:r>
    </w:p>
    <w:p w:rsidR="00135467" w:rsidRPr="00D51BBF" w:rsidRDefault="00135467" w:rsidP="00135467">
      <w:pPr>
        <w:rPr>
          <w:rFonts w:ascii="Times New Roman" w:hAnsi="Times New Roman" w:cs="Times New Roman"/>
          <w:color w:val="000000" w:themeColor="text1"/>
          <w:sz w:val="24"/>
          <w:szCs w:val="24"/>
        </w:rPr>
      </w:pPr>
      <w:r w:rsidRPr="00D51BBF">
        <w:rPr>
          <w:rFonts w:ascii="Times New Roman" w:hAnsi="Times New Roman" w:cs="Times New Roman"/>
          <w:color w:val="000000" w:themeColor="text1"/>
          <w:sz w:val="24"/>
          <w:szCs w:val="24"/>
        </w:rPr>
        <w:t xml:space="preserve">While </w:t>
      </w:r>
      <w:r w:rsidR="00672F3E">
        <w:rPr>
          <w:rFonts w:ascii="Times New Roman" w:hAnsi="Times New Roman" w:cs="Times New Roman"/>
          <w:color w:val="000000" w:themeColor="text1"/>
          <w:sz w:val="24"/>
          <w:szCs w:val="24"/>
        </w:rPr>
        <w:t>dividends</w:t>
      </w:r>
      <w:r w:rsidRPr="00D51BBF">
        <w:rPr>
          <w:rFonts w:ascii="Times New Roman" w:hAnsi="Times New Roman" w:cs="Times New Roman"/>
          <w:color w:val="000000" w:themeColor="text1"/>
          <w:sz w:val="24"/>
          <w:szCs w:val="24"/>
        </w:rPr>
        <w:t xml:space="preserve"> increase the amount of funds in people’s po</w:t>
      </w:r>
      <w:r w:rsidR="00A91D6A" w:rsidRPr="00D51BBF">
        <w:rPr>
          <w:rFonts w:ascii="Times New Roman" w:hAnsi="Times New Roman" w:cs="Times New Roman"/>
          <w:color w:val="000000" w:themeColor="text1"/>
          <w:sz w:val="24"/>
          <w:szCs w:val="24"/>
        </w:rPr>
        <w:t xml:space="preserve">ckets, when </w:t>
      </w:r>
      <w:r w:rsidRPr="00D51BBF">
        <w:rPr>
          <w:rFonts w:ascii="Times New Roman" w:hAnsi="Times New Roman" w:cs="Times New Roman"/>
          <w:color w:val="000000" w:themeColor="text1"/>
          <w:sz w:val="24"/>
          <w:szCs w:val="24"/>
        </w:rPr>
        <w:t>land values increase faster than wages, then the proportion of c</w:t>
      </w:r>
      <w:r w:rsidR="00A91D6A" w:rsidRPr="00D51BBF">
        <w:rPr>
          <w:rFonts w:ascii="Times New Roman" w:hAnsi="Times New Roman" w:cs="Times New Roman"/>
          <w:color w:val="000000" w:themeColor="text1"/>
          <w:sz w:val="24"/>
          <w:szCs w:val="24"/>
        </w:rPr>
        <w:t>itizens’ wealth spent on housing</w:t>
      </w:r>
      <w:r w:rsidRPr="00D51BBF">
        <w:rPr>
          <w:rFonts w:ascii="Times New Roman" w:hAnsi="Times New Roman" w:cs="Times New Roman"/>
          <w:color w:val="000000" w:themeColor="text1"/>
          <w:sz w:val="24"/>
          <w:szCs w:val="24"/>
        </w:rPr>
        <w:t xml:space="preserve"> and other basic needs will increase, essentially “sopping up” the purchasing capacity gained by the </w:t>
      </w:r>
      <w:r w:rsidR="00672F3E">
        <w:rPr>
          <w:rFonts w:ascii="Times New Roman" w:hAnsi="Times New Roman" w:cs="Times New Roman"/>
          <w:color w:val="000000" w:themeColor="text1"/>
          <w:sz w:val="24"/>
          <w:szCs w:val="24"/>
        </w:rPr>
        <w:t>dividend</w:t>
      </w:r>
      <w:r w:rsidRPr="00D51BBF">
        <w:rPr>
          <w:rFonts w:ascii="Times New Roman" w:hAnsi="Times New Roman" w:cs="Times New Roman"/>
          <w:color w:val="000000" w:themeColor="text1"/>
          <w:sz w:val="24"/>
          <w:szCs w:val="24"/>
        </w:rPr>
        <w:t>.</w:t>
      </w:r>
      <w:r w:rsidR="00476059" w:rsidRPr="00D51BBF">
        <w:rPr>
          <w:rFonts w:ascii="Times New Roman" w:hAnsi="Times New Roman" w:cs="Times New Roman"/>
          <w:color w:val="000000" w:themeColor="text1"/>
          <w:sz w:val="24"/>
          <w:szCs w:val="24"/>
        </w:rPr>
        <w:t xml:space="preserve"> </w:t>
      </w:r>
      <w:r w:rsidR="00476059" w:rsidRPr="00D51BBF">
        <w:rPr>
          <w:rFonts w:ascii="Times New Roman" w:hAnsi="Times New Roman" w:cs="Times New Roman"/>
          <w:color w:val="000000" w:themeColor="text1"/>
          <w:sz w:val="24"/>
          <w:szCs w:val="24"/>
        </w:rPr>
        <w:br/>
        <w:t xml:space="preserve">Classical economist David Ricardo described this phenomena in his writings on the “law of rent,” an important line of thought further developed by Henry George in his masterwork </w:t>
      </w:r>
      <w:r w:rsidR="00476059" w:rsidRPr="00D51BBF">
        <w:rPr>
          <w:rFonts w:ascii="Times New Roman" w:hAnsi="Times New Roman" w:cs="Times New Roman"/>
          <w:color w:val="000000" w:themeColor="text1"/>
          <w:sz w:val="24"/>
          <w:szCs w:val="24"/>
          <w:u w:val="single"/>
        </w:rPr>
        <w:t>Progress and Poverty</w:t>
      </w:r>
      <w:r w:rsidR="00476059" w:rsidRPr="00D51BBF">
        <w:rPr>
          <w:rFonts w:ascii="Times New Roman" w:hAnsi="Times New Roman" w:cs="Times New Roman"/>
          <w:color w:val="000000" w:themeColor="text1"/>
          <w:sz w:val="24"/>
          <w:szCs w:val="24"/>
        </w:rPr>
        <w:t xml:space="preserve">. </w:t>
      </w:r>
      <w:r w:rsidRPr="00D51BBF">
        <w:rPr>
          <w:rFonts w:ascii="Times New Roman" w:hAnsi="Times New Roman" w:cs="Times New Roman"/>
          <w:color w:val="000000" w:themeColor="text1"/>
          <w:sz w:val="24"/>
          <w:szCs w:val="24"/>
        </w:rPr>
        <w:t xml:space="preserve"> </w:t>
      </w:r>
      <w:r w:rsidR="009A2B97" w:rsidRPr="00D51BBF">
        <w:rPr>
          <w:rFonts w:ascii="Times New Roman" w:hAnsi="Times New Roman" w:cs="Times New Roman"/>
          <w:color w:val="000000" w:themeColor="text1"/>
          <w:sz w:val="24"/>
          <w:szCs w:val="24"/>
        </w:rPr>
        <w:t xml:space="preserve">Because of this effect </w:t>
      </w:r>
      <w:r w:rsidR="00672F3E">
        <w:rPr>
          <w:rFonts w:ascii="Times New Roman" w:hAnsi="Times New Roman" w:cs="Times New Roman"/>
          <w:color w:val="000000" w:themeColor="text1"/>
          <w:sz w:val="24"/>
          <w:szCs w:val="24"/>
        </w:rPr>
        <w:t>dividend</w:t>
      </w:r>
      <w:r w:rsidR="00B439D8">
        <w:rPr>
          <w:rFonts w:ascii="Times New Roman" w:hAnsi="Times New Roman" w:cs="Times New Roman"/>
          <w:color w:val="000000" w:themeColor="text1"/>
          <w:sz w:val="24"/>
          <w:szCs w:val="24"/>
        </w:rPr>
        <w:t>s</w:t>
      </w:r>
      <w:r w:rsidR="009A2B97" w:rsidRPr="00D51BBF">
        <w:rPr>
          <w:rFonts w:ascii="Times New Roman" w:hAnsi="Times New Roman" w:cs="Times New Roman"/>
          <w:color w:val="000000" w:themeColor="text1"/>
          <w:sz w:val="24"/>
          <w:szCs w:val="24"/>
        </w:rPr>
        <w:t xml:space="preserve"> sourced from a commons domain other than surface land value should always be combined with a land value taxation public finance approach.</w:t>
      </w:r>
    </w:p>
    <w:p w:rsidR="00A965A9" w:rsidRPr="00D51BBF" w:rsidRDefault="00135467" w:rsidP="00135467">
      <w:pPr>
        <w:rPr>
          <w:rFonts w:ascii="Times New Roman" w:hAnsi="Times New Roman" w:cs="Times New Roman"/>
          <w:color w:val="000000" w:themeColor="text1"/>
          <w:sz w:val="24"/>
          <w:szCs w:val="24"/>
        </w:rPr>
      </w:pPr>
      <w:r w:rsidRPr="00D51BBF">
        <w:rPr>
          <w:rFonts w:ascii="Times New Roman" w:hAnsi="Times New Roman" w:cs="Times New Roman"/>
          <w:color w:val="000000" w:themeColor="text1"/>
          <w:sz w:val="24"/>
          <w:szCs w:val="24"/>
        </w:rPr>
        <w:t xml:space="preserve">Alaska’s constitutional mandate - that “all the natural resources of Alaska belong to the state to be used, developed and conserved for the maximum benefit of the people” – should be understood to include surface land. Land rent is likely to be a significant source of funds that </w:t>
      </w:r>
      <w:r w:rsidR="00B439D8">
        <w:rPr>
          <w:rFonts w:ascii="Times New Roman" w:hAnsi="Times New Roman" w:cs="Times New Roman"/>
          <w:color w:val="000000" w:themeColor="text1"/>
          <w:sz w:val="24"/>
          <w:szCs w:val="24"/>
        </w:rPr>
        <w:t>could</w:t>
      </w:r>
      <w:r w:rsidRPr="00D51BBF">
        <w:rPr>
          <w:rFonts w:ascii="Times New Roman" w:hAnsi="Times New Roman" w:cs="Times New Roman"/>
          <w:color w:val="000000" w:themeColor="text1"/>
          <w:sz w:val="24"/>
          <w:szCs w:val="24"/>
        </w:rPr>
        <w:t xml:space="preserve"> be shared by the people of Alaska</w:t>
      </w:r>
      <w:r w:rsidR="00B439D8">
        <w:rPr>
          <w:rFonts w:ascii="Times New Roman" w:hAnsi="Times New Roman" w:cs="Times New Roman"/>
          <w:color w:val="000000" w:themeColor="text1"/>
          <w:sz w:val="24"/>
          <w:szCs w:val="24"/>
        </w:rPr>
        <w:t>, especially when the oil runs dry</w:t>
      </w:r>
      <w:r w:rsidRPr="00D51BBF">
        <w:rPr>
          <w:rFonts w:ascii="Times New Roman" w:hAnsi="Times New Roman" w:cs="Times New Roman"/>
          <w:color w:val="000000" w:themeColor="text1"/>
          <w:sz w:val="24"/>
          <w:szCs w:val="24"/>
        </w:rPr>
        <w:t xml:space="preserve">. Researchers in Australia have calculated that this largely untapped potential source of </w:t>
      </w:r>
      <w:r w:rsidR="00B439D8">
        <w:rPr>
          <w:rFonts w:ascii="Times New Roman" w:hAnsi="Times New Roman" w:cs="Times New Roman"/>
          <w:color w:val="000000" w:themeColor="text1"/>
          <w:sz w:val="24"/>
          <w:szCs w:val="24"/>
        </w:rPr>
        <w:t>dividends</w:t>
      </w:r>
      <w:r w:rsidRPr="00D51BBF">
        <w:rPr>
          <w:rFonts w:ascii="Times New Roman" w:hAnsi="Times New Roman" w:cs="Times New Roman"/>
          <w:color w:val="000000" w:themeColor="text1"/>
          <w:sz w:val="24"/>
          <w:szCs w:val="24"/>
        </w:rPr>
        <w:t xml:space="preserve"> is as high as one third of GDP. Th</w:t>
      </w:r>
      <w:r w:rsidR="00B439D8">
        <w:rPr>
          <w:rFonts w:ascii="Times New Roman" w:hAnsi="Times New Roman" w:cs="Times New Roman"/>
          <w:color w:val="000000" w:themeColor="text1"/>
          <w:sz w:val="24"/>
          <w:szCs w:val="24"/>
        </w:rPr>
        <w:t>e</w:t>
      </w:r>
      <w:r w:rsidRPr="00D51BBF">
        <w:rPr>
          <w:rFonts w:ascii="Times New Roman" w:hAnsi="Times New Roman" w:cs="Times New Roman"/>
          <w:color w:val="000000" w:themeColor="text1"/>
          <w:sz w:val="24"/>
          <w:szCs w:val="24"/>
        </w:rPr>
        <w:t xml:space="preserve"> </w:t>
      </w:r>
      <w:r w:rsidR="00476059" w:rsidRPr="00D51BBF">
        <w:rPr>
          <w:rFonts w:ascii="Times New Roman" w:hAnsi="Times New Roman" w:cs="Times New Roman"/>
          <w:color w:val="000000" w:themeColor="text1"/>
          <w:sz w:val="24"/>
          <w:szCs w:val="24"/>
        </w:rPr>
        <w:t>diagram</w:t>
      </w:r>
      <w:r w:rsidR="00B439D8">
        <w:rPr>
          <w:rFonts w:ascii="Times New Roman" w:hAnsi="Times New Roman" w:cs="Times New Roman"/>
          <w:color w:val="000000" w:themeColor="text1"/>
          <w:sz w:val="24"/>
          <w:szCs w:val="24"/>
        </w:rPr>
        <w:t xml:space="preserve"> below</w:t>
      </w:r>
      <w:r w:rsidR="00A965A9" w:rsidRPr="00D51BBF">
        <w:rPr>
          <w:rFonts w:ascii="Times New Roman" w:hAnsi="Times New Roman" w:cs="Times New Roman"/>
          <w:color w:val="000000" w:themeColor="text1"/>
          <w:sz w:val="24"/>
          <w:szCs w:val="24"/>
        </w:rPr>
        <w:t xml:space="preserve"> shows that (1) public finance drawn from </w:t>
      </w:r>
      <w:r w:rsidR="00EC18E9" w:rsidRPr="00D51BBF">
        <w:rPr>
          <w:rFonts w:ascii="Times New Roman" w:hAnsi="Times New Roman" w:cs="Times New Roman"/>
          <w:color w:val="000000" w:themeColor="text1"/>
          <w:sz w:val="24"/>
          <w:szCs w:val="24"/>
        </w:rPr>
        <w:t>land</w:t>
      </w:r>
      <w:r w:rsidR="00A965A9" w:rsidRPr="00D51BBF">
        <w:rPr>
          <w:rFonts w:ascii="Times New Roman" w:hAnsi="Times New Roman" w:cs="Times New Roman"/>
          <w:color w:val="000000" w:themeColor="text1"/>
          <w:sz w:val="24"/>
          <w:szCs w:val="24"/>
        </w:rPr>
        <w:t xml:space="preserve"> rent can provide a sufficient source of funds for public needs; (2) as a proportion of GDP, resource rent increases while returns to labor and production decline, thus validating the functioning of the law of re</w:t>
      </w:r>
      <w:r w:rsidR="00EC18E9" w:rsidRPr="00D51BBF">
        <w:rPr>
          <w:rFonts w:ascii="Times New Roman" w:hAnsi="Times New Roman" w:cs="Times New Roman"/>
          <w:color w:val="000000" w:themeColor="text1"/>
          <w:sz w:val="24"/>
          <w:szCs w:val="24"/>
        </w:rPr>
        <w:t xml:space="preserve">nt; and (3) </w:t>
      </w:r>
      <w:r w:rsidR="00A4216B">
        <w:rPr>
          <w:rFonts w:ascii="Times New Roman" w:hAnsi="Times New Roman" w:cs="Times New Roman"/>
          <w:color w:val="000000" w:themeColor="text1"/>
          <w:sz w:val="24"/>
          <w:szCs w:val="24"/>
        </w:rPr>
        <w:t>dividends from oil and other extractive resources</w:t>
      </w:r>
      <w:r w:rsidR="00B90B58" w:rsidRPr="00D51BBF">
        <w:rPr>
          <w:rFonts w:ascii="Times New Roman" w:hAnsi="Times New Roman" w:cs="Times New Roman"/>
          <w:color w:val="000000" w:themeColor="text1"/>
          <w:sz w:val="24"/>
          <w:szCs w:val="24"/>
        </w:rPr>
        <w:t xml:space="preserve"> will assuredly and steadily result in an increase in surface land rent as does any other increase in purchasin</w:t>
      </w:r>
      <w:r w:rsidR="00A4216B">
        <w:rPr>
          <w:rFonts w:ascii="Times New Roman" w:hAnsi="Times New Roman" w:cs="Times New Roman"/>
          <w:color w:val="000000" w:themeColor="text1"/>
          <w:sz w:val="24"/>
          <w:szCs w:val="24"/>
        </w:rPr>
        <w:t>g capacity and productive power</w:t>
      </w:r>
      <w:r w:rsidR="00A965A9" w:rsidRPr="00D51BBF">
        <w:rPr>
          <w:rFonts w:ascii="Times New Roman" w:hAnsi="Times New Roman" w:cs="Times New Roman"/>
          <w:color w:val="000000" w:themeColor="text1"/>
          <w:sz w:val="24"/>
          <w:szCs w:val="24"/>
        </w:rPr>
        <w:t>.</w:t>
      </w:r>
    </w:p>
    <w:p w:rsidR="00135467" w:rsidRPr="00D51BBF" w:rsidRDefault="00EF79C0" w:rsidP="00135467">
      <w:pPr>
        <w:rPr>
          <w:rFonts w:ascii="Times New Roman" w:hAnsi="Times New Roman" w:cs="Times New Roman"/>
          <w:color w:val="000000" w:themeColor="text1"/>
          <w:sz w:val="24"/>
          <w:szCs w:val="24"/>
        </w:rPr>
      </w:pPr>
      <w:r w:rsidRPr="00EF79C0">
        <w:rPr>
          <w:rFonts w:ascii="Times New Roman" w:hAnsi="Times New Roman" w:cs="Times New Roman"/>
          <w:noProof/>
          <w:color w:val="000000" w:themeColor="text1"/>
          <w:sz w:val="24"/>
          <w:szCs w:val="24"/>
        </w:rPr>
        <w:drawing>
          <wp:inline distT="0" distB="0" distL="0" distR="0">
            <wp:extent cx="5332095" cy="4189095"/>
            <wp:effectExtent l="19050" t="0" r="1905" b="0"/>
            <wp:docPr id="1" name="Picture 1" descr="unear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arned"/>
                    <pic:cNvPicPr>
                      <a:picLocks noChangeAspect="1" noChangeArrowheads="1"/>
                    </pic:cNvPicPr>
                  </pic:nvPicPr>
                  <pic:blipFill>
                    <a:blip r:embed="rId9" cstate="print"/>
                    <a:srcRect/>
                    <a:stretch>
                      <a:fillRect/>
                    </a:stretch>
                  </pic:blipFill>
                  <pic:spPr bwMode="auto">
                    <a:xfrm>
                      <a:off x="0" y="0"/>
                      <a:ext cx="5332095" cy="4189095"/>
                    </a:xfrm>
                    <a:prstGeom prst="rect">
                      <a:avLst/>
                    </a:prstGeom>
                    <a:noFill/>
                    <a:ln w="9525">
                      <a:noFill/>
                      <a:miter lim="800000"/>
                      <a:headEnd/>
                      <a:tailEnd/>
                    </a:ln>
                  </pic:spPr>
                </pic:pic>
              </a:graphicData>
            </a:graphic>
          </wp:inline>
        </w:drawing>
      </w:r>
      <w:r w:rsidR="00135467" w:rsidRPr="00D51BBF">
        <w:rPr>
          <w:rFonts w:ascii="Times New Roman" w:hAnsi="Times New Roman" w:cs="Times New Roman"/>
          <w:color w:val="000000" w:themeColor="text1"/>
          <w:sz w:val="24"/>
          <w:szCs w:val="24"/>
        </w:rPr>
        <w:t xml:space="preserve"> </w:t>
      </w:r>
    </w:p>
    <w:p w:rsidR="00135467" w:rsidRPr="00D51BBF" w:rsidRDefault="000E3147" w:rsidP="00135467">
      <w:pPr>
        <w:rPr>
          <w:rFonts w:ascii="Times New Roman" w:hAnsi="Times New Roman" w:cs="Times New Roman"/>
          <w:color w:val="000000" w:themeColor="text1"/>
          <w:sz w:val="24"/>
          <w:szCs w:val="24"/>
        </w:rPr>
      </w:pPr>
      <w:r w:rsidRPr="00D51BBF">
        <w:rPr>
          <w:rFonts w:ascii="Times New Roman" w:hAnsi="Times New Roman" w:cs="Times New Roman"/>
          <w:color w:val="000000" w:themeColor="text1"/>
          <w:sz w:val="24"/>
          <w:szCs w:val="24"/>
        </w:rPr>
        <w:t xml:space="preserve">The terms “land </w:t>
      </w:r>
      <w:r w:rsidR="00135467" w:rsidRPr="00D51BBF">
        <w:rPr>
          <w:rFonts w:ascii="Times New Roman" w:hAnsi="Times New Roman" w:cs="Times New Roman"/>
          <w:color w:val="000000" w:themeColor="text1"/>
          <w:sz w:val="24"/>
          <w:szCs w:val="24"/>
        </w:rPr>
        <w:t>value taxation</w:t>
      </w:r>
      <w:r w:rsidRPr="00D51BBF">
        <w:rPr>
          <w:rFonts w:ascii="Times New Roman" w:hAnsi="Times New Roman" w:cs="Times New Roman"/>
          <w:color w:val="000000" w:themeColor="text1"/>
          <w:sz w:val="24"/>
          <w:szCs w:val="24"/>
        </w:rPr>
        <w:t xml:space="preserve">,” “land value capture,” and </w:t>
      </w:r>
      <w:r w:rsidR="00135467" w:rsidRPr="00D51BBF">
        <w:rPr>
          <w:rFonts w:ascii="Times New Roman" w:hAnsi="Times New Roman" w:cs="Times New Roman"/>
          <w:color w:val="000000" w:themeColor="text1"/>
          <w:sz w:val="24"/>
          <w:szCs w:val="24"/>
        </w:rPr>
        <w:t xml:space="preserve">“site </w:t>
      </w:r>
      <w:r w:rsidRPr="00D51BBF">
        <w:rPr>
          <w:rFonts w:ascii="Times New Roman" w:hAnsi="Times New Roman" w:cs="Times New Roman"/>
          <w:color w:val="000000" w:themeColor="text1"/>
          <w:sz w:val="24"/>
          <w:szCs w:val="24"/>
        </w:rPr>
        <w:t>value rating</w:t>
      </w:r>
      <w:r w:rsidR="00135467" w:rsidRPr="00D51BBF">
        <w:rPr>
          <w:rFonts w:ascii="Times New Roman" w:hAnsi="Times New Roman" w:cs="Times New Roman"/>
          <w:color w:val="000000" w:themeColor="text1"/>
          <w:sz w:val="24"/>
          <w:szCs w:val="24"/>
        </w:rPr>
        <w:t xml:space="preserve">” all reference the </w:t>
      </w:r>
      <w:r w:rsidR="00FD770E">
        <w:rPr>
          <w:rFonts w:ascii="Times New Roman" w:hAnsi="Times New Roman" w:cs="Times New Roman"/>
          <w:color w:val="000000" w:themeColor="text1"/>
          <w:sz w:val="24"/>
          <w:szCs w:val="24"/>
        </w:rPr>
        <w:t xml:space="preserve">public charge </w:t>
      </w:r>
      <w:r w:rsidR="00135467" w:rsidRPr="00D51BBF">
        <w:rPr>
          <w:rFonts w:ascii="Times New Roman" w:hAnsi="Times New Roman" w:cs="Times New Roman"/>
          <w:color w:val="000000" w:themeColor="text1"/>
          <w:sz w:val="24"/>
          <w:szCs w:val="24"/>
        </w:rPr>
        <w:t>of a fee for use of surface land in lieu of taxes on homes, buildings, wage income and production of good</w:t>
      </w:r>
      <w:r w:rsidR="003D3645" w:rsidRPr="00D51BBF">
        <w:rPr>
          <w:rFonts w:ascii="Times New Roman" w:hAnsi="Times New Roman" w:cs="Times New Roman"/>
          <w:color w:val="000000" w:themeColor="text1"/>
          <w:sz w:val="24"/>
          <w:szCs w:val="24"/>
        </w:rPr>
        <w:t xml:space="preserve">s and services. </w:t>
      </w:r>
      <w:r w:rsidR="00135467" w:rsidRPr="00D51BBF">
        <w:rPr>
          <w:rFonts w:ascii="Times New Roman" w:hAnsi="Times New Roman" w:cs="Times New Roman"/>
          <w:color w:val="000000" w:themeColor="text1"/>
          <w:sz w:val="24"/>
          <w:szCs w:val="24"/>
        </w:rPr>
        <w:t>Not only is the potential public revenue from surface land rent significant as an amount, the incentive effects are impressive. For example, when surface land rent is collected for social benefit:</w:t>
      </w:r>
    </w:p>
    <w:p w:rsidR="00135467" w:rsidRPr="00D51BBF" w:rsidRDefault="00135467" w:rsidP="00135467">
      <w:pPr>
        <w:pStyle w:val="Default"/>
        <w:numPr>
          <w:ilvl w:val="0"/>
          <w:numId w:val="1"/>
        </w:numPr>
        <w:spacing w:after="76"/>
        <w:rPr>
          <w:rFonts w:ascii="Times New Roman" w:hAnsi="Times New Roman" w:cs="Times New Roman"/>
          <w:color w:val="000000" w:themeColor="text1"/>
        </w:rPr>
      </w:pPr>
      <w:r w:rsidRPr="00D51BBF">
        <w:rPr>
          <w:rFonts w:ascii="Times New Roman" w:hAnsi="Times New Roman" w:cs="Times New Roman"/>
          <w:color w:val="000000" w:themeColor="text1"/>
        </w:rPr>
        <w:t>Land is freed from socially harmful incentives for profiteering and land speculation, and thus maintains affordability.</w:t>
      </w:r>
    </w:p>
    <w:p w:rsidR="00135467" w:rsidRPr="00D51BBF" w:rsidRDefault="00135467" w:rsidP="00135467">
      <w:pPr>
        <w:pStyle w:val="Default"/>
        <w:numPr>
          <w:ilvl w:val="0"/>
          <w:numId w:val="1"/>
        </w:numPr>
        <w:spacing w:after="76"/>
        <w:rPr>
          <w:rFonts w:ascii="Times New Roman" w:hAnsi="Times New Roman" w:cs="Times New Roman"/>
          <w:color w:val="000000" w:themeColor="text1"/>
        </w:rPr>
      </w:pPr>
      <w:r w:rsidRPr="00D51BBF">
        <w:rPr>
          <w:rFonts w:ascii="Times New Roman" w:hAnsi="Times New Roman" w:cs="Times New Roman"/>
          <w:color w:val="000000" w:themeColor="text1"/>
        </w:rPr>
        <w:t>Affordable land means more people in a locality can access land upo</w:t>
      </w:r>
      <w:r w:rsidR="003D3645" w:rsidRPr="00D51BBF">
        <w:rPr>
          <w:rFonts w:ascii="Times New Roman" w:hAnsi="Times New Roman" w:cs="Times New Roman"/>
          <w:color w:val="000000" w:themeColor="text1"/>
        </w:rPr>
        <w:t xml:space="preserve">n which to labor by </w:t>
      </w:r>
      <w:r w:rsidRPr="00D51BBF">
        <w:rPr>
          <w:rFonts w:ascii="Times New Roman" w:hAnsi="Times New Roman" w:cs="Times New Roman"/>
          <w:color w:val="000000" w:themeColor="text1"/>
        </w:rPr>
        <w:t>establishing local businesses, building homes, growing food, and securing energy from solar, wind and wood.</w:t>
      </w:r>
    </w:p>
    <w:p w:rsidR="00135467" w:rsidRPr="00D51BBF" w:rsidRDefault="00135467" w:rsidP="00135467">
      <w:pPr>
        <w:pStyle w:val="Default"/>
        <w:numPr>
          <w:ilvl w:val="0"/>
          <w:numId w:val="1"/>
        </w:numPr>
        <w:spacing w:after="76"/>
        <w:rPr>
          <w:rFonts w:ascii="Times New Roman" w:hAnsi="Times New Roman" w:cs="Times New Roman"/>
          <w:color w:val="000000" w:themeColor="text1"/>
        </w:rPr>
      </w:pPr>
      <w:r w:rsidRPr="00D51BBF">
        <w:rPr>
          <w:rFonts w:ascii="Times New Roman" w:hAnsi="Times New Roman" w:cs="Times New Roman"/>
          <w:color w:val="000000" w:themeColor="text1"/>
        </w:rPr>
        <w:t>When land costs are lowered and remain stable, more funding is freed for capitalization of local b</w:t>
      </w:r>
      <w:r w:rsidR="00FD770E">
        <w:rPr>
          <w:rFonts w:ascii="Times New Roman" w:hAnsi="Times New Roman" w:cs="Times New Roman"/>
          <w:color w:val="000000" w:themeColor="text1"/>
        </w:rPr>
        <w:t>usinesses, whether they be cooperatives</w:t>
      </w:r>
      <w:r w:rsidRPr="00D51BBF">
        <w:rPr>
          <w:rFonts w:ascii="Times New Roman" w:hAnsi="Times New Roman" w:cs="Times New Roman"/>
          <w:color w:val="000000" w:themeColor="text1"/>
        </w:rPr>
        <w:t xml:space="preserve">, community corporations, or individual </w:t>
      </w:r>
      <w:r w:rsidR="00FD770E">
        <w:rPr>
          <w:rFonts w:ascii="Times New Roman" w:hAnsi="Times New Roman" w:cs="Times New Roman"/>
          <w:color w:val="000000" w:themeColor="text1"/>
        </w:rPr>
        <w:t>or</w:t>
      </w:r>
      <w:r w:rsidRPr="00D51BBF">
        <w:rPr>
          <w:rFonts w:ascii="Times New Roman" w:hAnsi="Times New Roman" w:cs="Times New Roman"/>
          <w:color w:val="000000" w:themeColor="text1"/>
        </w:rPr>
        <w:t xml:space="preserve"> family owned</w:t>
      </w:r>
      <w:r w:rsidR="00FD770E">
        <w:rPr>
          <w:rFonts w:ascii="Times New Roman" w:hAnsi="Times New Roman" w:cs="Times New Roman"/>
          <w:color w:val="000000" w:themeColor="text1"/>
        </w:rPr>
        <w:t xml:space="preserve"> businesses</w:t>
      </w:r>
      <w:r w:rsidRPr="00D51BBF">
        <w:rPr>
          <w:rFonts w:ascii="Times New Roman" w:hAnsi="Times New Roman" w:cs="Times New Roman"/>
          <w:color w:val="000000" w:themeColor="text1"/>
        </w:rPr>
        <w:t xml:space="preserve">. Lower </w:t>
      </w:r>
      <w:r w:rsidR="00FD770E">
        <w:rPr>
          <w:rFonts w:ascii="Times New Roman" w:hAnsi="Times New Roman" w:cs="Times New Roman"/>
          <w:color w:val="000000" w:themeColor="text1"/>
        </w:rPr>
        <w:t>land costs mean</w:t>
      </w:r>
      <w:r w:rsidRPr="00D51BBF">
        <w:rPr>
          <w:rFonts w:ascii="Times New Roman" w:hAnsi="Times New Roman" w:cs="Times New Roman"/>
          <w:color w:val="000000" w:themeColor="text1"/>
        </w:rPr>
        <w:t xml:space="preserve"> lower mortgage payments</w:t>
      </w:r>
      <w:r w:rsidR="00FD770E">
        <w:rPr>
          <w:rFonts w:ascii="Times New Roman" w:hAnsi="Times New Roman" w:cs="Times New Roman"/>
          <w:color w:val="000000" w:themeColor="text1"/>
        </w:rPr>
        <w:t xml:space="preserve"> as well</w:t>
      </w:r>
      <w:r w:rsidRPr="00D51BBF">
        <w:rPr>
          <w:rFonts w:ascii="Times New Roman" w:hAnsi="Times New Roman" w:cs="Times New Roman"/>
          <w:color w:val="000000" w:themeColor="text1"/>
        </w:rPr>
        <w:t xml:space="preserve">. </w:t>
      </w:r>
    </w:p>
    <w:p w:rsidR="00135467" w:rsidRPr="00D51BBF" w:rsidRDefault="00135467" w:rsidP="00135467">
      <w:pPr>
        <w:pStyle w:val="Default"/>
        <w:numPr>
          <w:ilvl w:val="0"/>
          <w:numId w:val="1"/>
        </w:numPr>
        <w:spacing w:after="76"/>
        <w:rPr>
          <w:rFonts w:ascii="Times New Roman" w:hAnsi="Times New Roman" w:cs="Times New Roman"/>
          <w:color w:val="000000" w:themeColor="text1"/>
        </w:rPr>
      </w:pPr>
      <w:r w:rsidRPr="00D51BBF">
        <w:rPr>
          <w:rFonts w:ascii="Times New Roman" w:hAnsi="Times New Roman" w:cs="Times New Roman"/>
          <w:color w:val="000000" w:themeColor="text1"/>
        </w:rPr>
        <w:t xml:space="preserve"> Land rent is a substantial sum that can pay for education, healthcare and other public infrastructure. </w:t>
      </w:r>
    </w:p>
    <w:p w:rsidR="00135467" w:rsidRPr="00D51BBF" w:rsidRDefault="00A83B2D" w:rsidP="00135467">
      <w:pPr>
        <w:pStyle w:val="Default"/>
        <w:numPr>
          <w:ilvl w:val="0"/>
          <w:numId w:val="1"/>
        </w:numPr>
        <w:spacing w:after="76"/>
        <w:rPr>
          <w:rFonts w:ascii="Times New Roman" w:hAnsi="Times New Roman" w:cs="Times New Roman"/>
          <w:color w:val="000000" w:themeColor="text1"/>
        </w:rPr>
      </w:pPr>
      <w:r>
        <w:rPr>
          <w:rFonts w:ascii="Times New Roman" w:hAnsi="Times New Roman" w:cs="Times New Roman"/>
          <w:color w:val="000000" w:themeColor="text1"/>
        </w:rPr>
        <w:t xml:space="preserve"> U</w:t>
      </w:r>
      <w:r w:rsidR="00135467" w:rsidRPr="00D51BBF">
        <w:rPr>
          <w:rFonts w:ascii="Times New Roman" w:hAnsi="Times New Roman" w:cs="Times New Roman"/>
          <w:color w:val="000000" w:themeColor="text1"/>
        </w:rPr>
        <w:t xml:space="preserve">rban land sites are better utilized. Sprawl is curtailed </w:t>
      </w:r>
      <w:r w:rsidR="003D3645" w:rsidRPr="00D51BBF">
        <w:rPr>
          <w:rFonts w:ascii="Times New Roman" w:hAnsi="Times New Roman" w:cs="Times New Roman"/>
          <w:color w:val="000000" w:themeColor="text1"/>
        </w:rPr>
        <w:t>because this public finance approach encourages</w:t>
      </w:r>
      <w:r w:rsidR="00135467" w:rsidRPr="00D51BBF">
        <w:rPr>
          <w:rFonts w:ascii="Times New Roman" w:hAnsi="Times New Roman" w:cs="Times New Roman"/>
          <w:color w:val="000000" w:themeColor="text1"/>
        </w:rPr>
        <w:t xml:space="preserve"> “infill development.”</w:t>
      </w:r>
      <w:r w:rsidR="00135467" w:rsidRPr="00D51BBF">
        <w:rPr>
          <w:rStyle w:val="FootnoteReference"/>
          <w:rFonts w:ascii="Times New Roman" w:hAnsi="Times New Roman" w:cs="Times New Roman"/>
          <w:color w:val="000000" w:themeColor="text1"/>
        </w:rPr>
        <w:footnoteReference w:id="8"/>
      </w:r>
      <w:r w:rsidR="00FD770E">
        <w:rPr>
          <w:rFonts w:ascii="Times New Roman" w:hAnsi="Times New Roman" w:cs="Times New Roman"/>
          <w:color w:val="000000" w:themeColor="text1"/>
        </w:rPr>
        <w:br/>
      </w:r>
    </w:p>
    <w:p w:rsidR="00135467" w:rsidRPr="00D51BBF" w:rsidRDefault="00135467" w:rsidP="00135467">
      <w:pPr>
        <w:rPr>
          <w:rFonts w:ascii="Times New Roman" w:hAnsi="Times New Roman" w:cs="Times New Roman"/>
          <w:color w:val="000000" w:themeColor="text1"/>
          <w:sz w:val="24"/>
          <w:szCs w:val="24"/>
        </w:rPr>
      </w:pPr>
      <w:r w:rsidRPr="00D51BBF">
        <w:rPr>
          <w:rFonts w:ascii="Times New Roman" w:hAnsi="Times New Roman" w:cs="Times New Roman"/>
          <w:color w:val="000000" w:themeColor="text1"/>
          <w:sz w:val="24"/>
          <w:szCs w:val="24"/>
        </w:rPr>
        <w:t xml:space="preserve">It is important to understand that APF </w:t>
      </w:r>
      <w:r w:rsidR="00FD770E">
        <w:rPr>
          <w:rFonts w:ascii="Times New Roman" w:hAnsi="Times New Roman" w:cs="Times New Roman"/>
          <w:color w:val="000000" w:themeColor="text1"/>
          <w:sz w:val="24"/>
          <w:szCs w:val="24"/>
        </w:rPr>
        <w:t>dividends</w:t>
      </w:r>
      <w:r w:rsidRPr="00D51BBF">
        <w:rPr>
          <w:rFonts w:ascii="Times New Roman" w:hAnsi="Times New Roman" w:cs="Times New Roman"/>
          <w:color w:val="000000" w:themeColor="text1"/>
          <w:sz w:val="24"/>
          <w:szCs w:val="24"/>
        </w:rPr>
        <w:t xml:space="preserve"> are drawn from the interest accruing to the </w:t>
      </w:r>
      <w:r w:rsidRPr="00D51BBF">
        <w:rPr>
          <w:rFonts w:ascii="Times New Roman" w:hAnsi="Times New Roman" w:cs="Times New Roman"/>
          <w:color w:val="000000" w:themeColor="text1"/>
          <w:sz w:val="24"/>
          <w:szCs w:val="24"/>
          <w:u w:val="single"/>
        </w:rPr>
        <w:t>investment</w:t>
      </w:r>
      <w:r w:rsidRPr="00FD770E">
        <w:rPr>
          <w:rFonts w:ascii="Times New Roman" w:hAnsi="Times New Roman" w:cs="Times New Roman"/>
          <w:color w:val="000000" w:themeColor="text1"/>
          <w:sz w:val="24"/>
          <w:szCs w:val="24"/>
        </w:rPr>
        <w:t xml:space="preserve"> </w:t>
      </w:r>
      <w:r w:rsidRPr="00D51BBF">
        <w:rPr>
          <w:rFonts w:ascii="Times New Roman" w:hAnsi="Times New Roman" w:cs="Times New Roman"/>
          <w:color w:val="000000" w:themeColor="text1"/>
          <w:sz w:val="24"/>
          <w:szCs w:val="24"/>
        </w:rPr>
        <w:t>of the state’s oil revenue. The structure of the APF investment portfolio may well be the most problemat</w:t>
      </w:r>
      <w:r w:rsidR="004366DB" w:rsidRPr="00D51BBF">
        <w:rPr>
          <w:rFonts w:ascii="Times New Roman" w:hAnsi="Times New Roman" w:cs="Times New Roman"/>
          <w:color w:val="000000" w:themeColor="text1"/>
          <w:sz w:val="24"/>
          <w:szCs w:val="24"/>
        </w:rPr>
        <w:t xml:space="preserve">ic component of the APF model. </w:t>
      </w:r>
      <w:r w:rsidRPr="00D51BBF">
        <w:rPr>
          <w:rFonts w:ascii="Times New Roman" w:hAnsi="Times New Roman" w:cs="Times New Roman"/>
          <w:color w:val="000000" w:themeColor="text1"/>
          <w:sz w:val="24"/>
          <w:szCs w:val="24"/>
        </w:rPr>
        <w:t xml:space="preserve"> </w:t>
      </w:r>
    </w:p>
    <w:p w:rsidR="00135467" w:rsidRPr="00D51BBF" w:rsidRDefault="00135467" w:rsidP="00135467">
      <w:pPr>
        <w:spacing w:beforeAutospacing="1" w:after="100" w:afterAutospacing="1" w:line="240" w:lineRule="auto"/>
        <w:rPr>
          <w:rFonts w:ascii="Times New Roman" w:hAnsi="Times New Roman" w:cs="Times New Roman"/>
          <w:color w:val="000000" w:themeColor="text1"/>
          <w:sz w:val="24"/>
          <w:szCs w:val="24"/>
        </w:rPr>
      </w:pPr>
      <w:r w:rsidRPr="00D51BBF">
        <w:rPr>
          <w:rFonts w:ascii="Times New Roman" w:hAnsi="Times New Roman" w:cs="Times New Roman"/>
          <w:color w:val="000000" w:themeColor="text1"/>
          <w:sz w:val="24"/>
          <w:szCs w:val="24"/>
        </w:rPr>
        <w:t>The APF website states:</w:t>
      </w:r>
    </w:p>
    <w:p w:rsidR="00135467" w:rsidRPr="00FD770E" w:rsidRDefault="00135467" w:rsidP="00FD770E">
      <w:pPr>
        <w:pStyle w:val="ListParagraph"/>
        <w:numPr>
          <w:ilvl w:val="0"/>
          <w:numId w:val="5"/>
        </w:numPr>
        <w:spacing w:beforeAutospacing="1" w:after="100" w:afterAutospacing="1" w:line="240" w:lineRule="auto"/>
        <w:rPr>
          <w:rFonts w:ascii="Times New Roman" w:eastAsia="Times New Roman" w:hAnsi="Times New Roman" w:cs="Times New Roman"/>
          <w:color w:val="000000" w:themeColor="text1"/>
          <w:sz w:val="24"/>
          <w:szCs w:val="24"/>
        </w:rPr>
      </w:pPr>
      <w:r w:rsidRPr="00FD770E">
        <w:rPr>
          <w:rFonts w:ascii="Times New Roman" w:eastAsia="Times New Roman" w:hAnsi="Times New Roman" w:cs="Times New Roman"/>
          <w:color w:val="000000" w:themeColor="text1"/>
          <w:sz w:val="24"/>
          <w:szCs w:val="24"/>
        </w:rPr>
        <w:t>The investment goal of the Board of Trustees is to produce an average annual real rate of return of 5 percent over the long term. To achieve the target return, each year the Trustees set a target asset allocation that determines the types and percentages of investments.</w:t>
      </w:r>
    </w:p>
    <w:p w:rsidR="00135467" w:rsidRPr="00FD770E" w:rsidRDefault="00135467" w:rsidP="00FD770E">
      <w:pPr>
        <w:pStyle w:val="ListParagraph"/>
        <w:numPr>
          <w:ilvl w:val="0"/>
          <w:numId w:val="5"/>
        </w:numPr>
        <w:spacing w:before="200" w:line="240" w:lineRule="atLeast"/>
        <w:rPr>
          <w:rFonts w:ascii="Times New Roman" w:eastAsia="Times New Roman" w:hAnsi="Times New Roman" w:cs="Times New Roman"/>
          <w:color w:val="000000" w:themeColor="text1"/>
          <w:sz w:val="24"/>
          <w:szCs w:val="24"/>
        </w:rPr>
      </w:pPr>
      <w:r w:rsidRPr="00FD770E">
        <w:rPr>
          <w:rFonts w:ascii="Times New Roman" w:eastAsia="Times New Roman" w:hAnsi="Times New Roman" w:cs="Times New Roman"/>
          <w:color w:val="000000" w:themeColor="text1"/>
          <w:sz w:val="24"/>
          <w:szCs w:val="24"/>
        </w:rPr>
        <w:t>Over thirty years the Trus</w:t>
      </w:r>
      <w:r w:rsidR="00FD770E">
        <w:rPr>
          <w:rFonts w:ascii="Times New Roman" w:eastAsia="Times New Roman" w:hAnsi="Times New Roman" w:cs="Times New Roman"/>
          <w:color w:val="000000" w:themeColor="text1"/>
          <w:sz w:val="24"/>
          <w:szCs w:val="24"/>
        </w:rPr>
        <w:t>tees have gradually guided the F</w:t>
      </w:r>
      <w:r w:rsidRPr="00FD770E">
        <w:rPr>
          <w:rFonts w:ascii="Times New Roman" w:eastAsia="Times New Roman" w:hAnsi="Times New Roman" w:cs="Times New Roman"/>
          <w:color w:val="000000" w:themeColor="text1"/>
          <w:sz w:val="24"/>
          <w:szCs w:val="24"/>
        </w:rPr>
        <w:t>und from a portfolio entirely in bonds to a portfolio that is diversified across asset types. As new investment opportunities appear, the Trustees evaluate these investments to determi</w:t>
      </w:r>
      <w:r w:rsidR="00FD770E">
        <w:rPr>
          <w:rFonts w:ascii="Times New Roman" w:eastAsia="Times New Roman" w:hAnsi="Times New Roman" w:cs="Times New Roman"/>
          <w:color w:val="000000" w:themeColor="text1"/>
          <w:sz w:val="24"/>
          <w:szCs w:val="24"/>
        </w:rPr>
        <w:t>ne if they will fit within the F</w:t>
      </w:r>
      <w:r w:rsidRPr="00FD770E">
        <w:rPr>
          <w:rFonts w:ascii="Times New Roman" w:eastAsia="Times New Roman" w:hAnsi="Times New Roman" w:cs="Times New Roman"/>
          <w:color w:val="000000" w:themeColor="text1"/>
          <w:sz w:val="24"/>
          <w:szCs w:val="24"/>
        </w:rPr>
        <w:t>und’s risk and return targets.</w:t>
      </w:r>
    </w:p>
    <w:p w:rsidR="00FD770E" w:rsidRDefault="00135467" w:rsidP="00FD770E">
      <w:pPr>
        <w:pStyle w:val="ListParagraph"/>
        <w:numPr>
          <w:ilvl w:val="0"/>
          <w:numId w:val="5"/>
        </w:numPr>
        <w:spacing w:before="200" w:line="240" w:lineRule="atLeast"/>
        <w:rPr>
          <w:rFonts w:ascii="Times New Roman" w:eastAsia="Times New Roman" w:hAnsi="Times New Roman" w:cs="Times New Roman"/>
          <w:color w:val="000000" w:themeColor="text1"/>
          <w:sz w:val="24"/>
          <w:szCs w:val="24"/>
        </w:rPr>
      </w:pPr>
      <w:r w:rsidRPr="00FD770E">
        <w:rPr>
          <w:rFonts w:ascii="Times New Roman" w:eastAsia="Times New Roman" w:hAnsi="Times New Roman" w:cs="Times New Roman"/>
          <w:color w:val="000000" w:themeColor="text1"/>
          <w:sz w:val="24"/>
          <w:szCs w:val="24"/>
        </w:rPr>
        <w:t xml:space="preserve">Fund assets are invested to earn income. As all investments </w:t>
      </w:r>
      <w:r w:rsidR="00FD770E">
        <w:rPr>
          <w:rFonts w:ascii="Times New Roman" w:eastAsia="Times New Roman" w:hAnsi="Times New Roman" w:cs="Times New Roman"/>
          <w:color w:val="000000" w:themeColor="text1"/>
          <w:sz w:val="24"/>
          <w:szCs w:val="24"/>
        </w:rPr>
        <w:t>carry some degree of risk, the f</w:t>
      </w:r>
      <w:r w:rsidRPr="00FD770E">
        <w:rPr>
          <w:rFonts w:ascii="Times New Roman" w:eastAsia="Times New Roman" w:hAnsi="Times New Roman" w:cs="Times New Roman"/>
          <w:color w:val="000000" w:themeColor="text1"/>
          <w:sz w:val="24"/>
          <w:szCs w:val="24"/>
        </w:rPr>
        <w:t>und is invested prudently to reduce the risk.</w:t>
      </w:r>
    </w:p>
    <w:p w:rsidR="00FD770E" w:rsidRPr="00FD770E" w:rsidRDefault="00FD770E" w:rsidP="00FD770E">
      <w:pPr>
        <w:spacing w:before="200" w:line="24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Alaska’s Constitution and state law set out certain requirements for the fund’s investments:</w:t>
      </w:r>
    </w:p>
    <w:p w:rsidR="00135467" w:rsidRPr="00D51BBF" w:rsidRDefault="00135467" w:rsidP="00135467">
      <w:pPr>
        <w:numPr>
          <w:ilvl w:val="0"/>
          <w:numId w:val="3"/>
        </w:numPr>
        <w:tabs>
          <w:tab w:val="clear" w:pos="720"/>
          <w:tab w:val="num" w:pos="1440"/>
        </w:tabs>
        <w:spacing w:before="100" w:beforeAutospacing="1" w:after="100" w:afterAutospacing="1" w:line="240" w:lineRule="atLeast"/>
        <w:ind w:left="1440"/>
        <w:rPr>
          <w:rFonts w:ascii="Times New Roman" w:eastAsia="Times New Roman" w:hAnsi="Times New Roman" w:cs="Times New Roman"/>
          <w:color w:val="000000" w:themeColor="text1"/>
          <w:sz w:val="24"/>
          <w:szCs w:val="24"/>
        </w:rPr>
      </w:pPr>
      <w:r w:rsidRPr="00D51BBF">
        <w:rPr>
          <w:rFonts w:ascii="Times New Roman" w:eastAsia="Times New Roman" w:hAnsi="Times New Roman" w:cs="Times New Roman"/>
          <w:color w:val="000000" w:themeColor="text1"/>
          <w:sz w:val="24"/>
          <w:szCs w:val="24"/>
        </w:rPr>
        <w:t>The Fund can only invest in income-producing investments.</w:t>
      </w:r>
    </w:p>
    <w:p w:rsidR="00135467" w:rsidRPr="00D51BBF" w:rsidRDefault="00135467" w:rsidP="00135467">
      <w:pPr>
        <w:numPr>
          <w:ilvl w:val="0"/>
          <w:numId w:val="3"/>
        </w:numPr>
        <w:tabs>
          <w:tab w:val="clear" w:pos="720"/>
          <w:tab w:val="num" w:pos="1440"/>
        </w:tabs>
        <w:spacing w:before="100" w:beforeAutospacing="1" w:after="100" w:afterAutospacing="1" w:line="240" w:lineRule="atLeast"/>
        <w:ind w:left="1440"/>
        <w:rPr>
          <w:rFonts w:ascii="Times New Roman" w:eastAsia="Times New Roman" w:hAnsi="Times New Roman" w:cs="Times New Roman"/>
          <w:color w:val="000000" w:themeColor="text1"/>
          <w:sz w:val="24"/>
          <w:szCs w:val="24"/>
        </w:rPr>
      </w:pPr>
      <w:r w:rsidRPr="00D51BBF">
        <w:rPr>
          <w:rFonts w:ascii="Times New Roman" w:eastAsia="Times New Roman" w:hAnsi="Times New Roman" w:cs="Times New Roman"/>
          <w:color w:val="000000" w:themeColor="text1"/>
          <w:sz w:val="24"/>
          <w:szCs w:val="24"/>
        </w:rPr>
        <w:t>The goal of the Fund’s investments should be to maintain the safety of principal while maximizing total return.</w:t>
      </w:r>
    </w:p>
    <w:p w:rsidR="00135467" w:rsidRPr="00D51BBF" w:rsidRDefault="00135467" w:rsidP="00135467">
      <w:pPr>
        <w:numPr>
          <w:ilvl w:val="0"/>
          <w:numId w:val="3"/>
        </w:numPr>
        <w:tabs>
          <w:tab w:val="clear" w:pos="720"/>
          <w:tab w:val="num" w:pos="1440"/>
        </w:tabs>
        <w:spacing w:before="100" w:beforeAutospacing="1" w:after="100" w:afterAutospacing="1" w:line="240" w:lineRule="atLeast"/>
        <w:ind w:left="1440"/>
        <w:rPr>
          <w:rFonts w:ascii="Times New Roman" w:eastAsia="Times New Roman" w:hAnsi="Times New Roman" w:cs="Times New Roman"/>
          <w:color w:val="000000" w:themeColor="text1"/>
          <w:sz w:val="24"/>
          <w:szCs w:val="24"/>
        </w:rPr>
      </w:pPr>
      <w:r w:rsidRPr="00D51BBF">
        <w:rPr>
          <w:rFonts w:ascii="Times New Roman" w:eastAsia="Times New Roman" w:hAnsi="Times New Roman" w:cs="Times New Roman"/>
          <w:color w:val="000000" w:themeColor="text1"/>
          <w:sz w:val="24"/>
          <w:szCs w:val="24"/>
        </w:rPr>
        <w:t>All investments must conform to the prudent investor rule. This fiduciary standard requires that investment decisions be made with the prudence, intelligence and discretion expected of an institutional investor.</w:t>
      </w:r>
    </w:p>
    <w:p w:rsidR="00135467" w:rsidRPr="00D51BBF" w:rsidRDefault="00B90B58" w:rsidP="00135467">
      <w:pPr>
        <w:pStyle w:val="NormalWeb"/>
        <w:rPr>
          <w:color w:val="000000" w:themeColor="text1"/>
        </w:rPr>
      </w:pPr>
      <w:r w:rsidRPr="00D51BBF">
        <w:rPr>
          <w:color w:val="000000" w:themeColor="text1"/>
        </w:rPr>
        <w:t>The f</w:t>
      </w:r>
      <w:r w:rsidR="00135467" w:rsidRPr="00D51BBF">
        <w:rPr>
          <w:color w:val="000000" w:themeColor="text1"/>
        </w:rPr>
        <w:t xml:space="preserve">und is now so </w:t>
      </w:r>
      <w:r w:rsidR="004366DB" w:rsidRPr="00D51BBF">
        <w:rPr>
          <w:color w:val="000000" w:themeColor="text1"/>
        </w:rPr>
        <w:t>large</w:t>
      </w:r>
      <w:r w:rsidR="00135467" w:rsidRPr="00D51BBF">
        <w:rPr>
          <w:color w:val="000000" w:themeColor="text1"/>
        </w:rPr>
        <w:t xml:space="preserve"> ($38 billion as of December 9, 2010) that it has the power to</w:t>
      </w:r>
      <w:r w:rsidR="00846BA9" w:rsidRPr="00D51BBF">
        <w:rPr>
          <w:color w:val="000000" w:themeColor="text1"/>
        </w:rPr>
        <w:t xml:space="preserve"> capture</w:t>
      </w:r>
      <w:r w:rsidR="00135467" w:rsidRPr="00D51BBF">
        <w:rPr>
          <w:color w:val="000000" w:themeColor="text1"/>
        </w:rPr>
        <w:t xml:space="preserve"> significant amounts of resource rents and other unearned income from </w:t>
      </w:r>
      <w:r w:rsidRPr="00D51BBF">
        <w:rPr>
          <w:color w:val="000000" w:themeColor="text1"/>
        </w:rPr>
        <w:t>throughout the world</w:t>
      </w:r>
      <w:r w:rsidR="00135467" w:rsidRPr="00D51BBF">
        <w:rPr>
          <w:color w:val="000000" w:themeColor="text1"/>
        </w:rPr>
        <w:t>. Within established foundation guidelines of the "prudent investor rule" the Trustees' goal is to earn slightly better-than-average rates of return with slightly below-average level</w:t>
      </w:r>
      <w:r w:rsidRPr="00D51BBF">
        <w:rPr>
          <w:color w:val="000000" w:themeColor="text1"/>
        </w:rPr>
        <w:t>s of risk. In other words, the f</w:t>
      </w:r>
      <w:r w:rsidR="00135467" w:rsidRPr="00D51BBF">
        <w:rPr>
          <w:color w:val="000000" w:themeColor="text1"/>
        </w:rPr>
        <w:t>und is managed under normal investment procedures and criteria. And under normal investment rules, there are no established criteria for socially</w:t>
      </w:r>
      <w:r w:rsidR="004366DB" w:rsidRPr="00D51BBF">
        <w:rPr>
          <w:color w:val="000000" w:themeColor="text1"/>
        </w:rPr>
        <w:t xml:space="preserve"> or environmentally</w:t>
      </w:r>
      <w:r w:rsidR="00135467" w:rsidRPr="00D51BBF">
        <w:rPr>
          <w:color w:val="000000" w:themeColor="text1"/>
        </w:rPr>
        <w:t xml:space="preserve"> respo</w:t>
      </w:r>
      <w:r w:rsidRPr="00D51BBF">
        <w:rPr>
          <w:color w:val="000000" w:themeColor="text1"/>
        </w:rPr>
        <w:t>nsible investing. In fact, the f</w:t>
      </w:r>
      <w:r w:rsidR="00135467" w:rsidRPr="00D51BBF">
        <w:rPr>
          <w:color w:val="000000" w:themeColor="text1"/>
        </w:rPr>
        <w:t xml:space="preserve">und makes a special point that it minimizes risk and within that constraint maximizes investment yield and does </w:t>
      </w:r>
      <w:r w:rsidR="004366DB" w:rsidRPr="00D51BBF">
        <w:rPr>
          <w:color w:val="000000" w:themeColor="text1"/>
          <w:u w:val="single"/>
        </w:rPr>
        <w:t>not</w:t>
      </w:r>
      <w:r w:rsidR="00135467" w:rsidRPr="00D51BBF">
        <w:rPr>
          <w:color w:val="000000" w:themeColor="text1"/>
        </w:rPr>
        <w:t xml:space="preserve"> engage in "social" or "political" investing. </w:t>
      </w:r>
    </w:p>
    <w:p w:rsidR="00135467" w:rsidRPr="00D51BBF" w:rsidRDefault="007F4AC6" w:rsidP="00135467">
      <w:pPr>
        <w:pStyle w:val="NormalWeb"/>
        <w:rPr>
          <w:color w:val="000000" w:themeColor="text1"/>
        </w:rPr>
      </w:pPr>
      <w:r w:rsidRPr="00D51BBF">
        <w:rPr>
          <w:color w:val="000000" w:themeColor="text1"/>
        </w:rPr>
        <w:t xml:space="preserve">Established to secure common heritage rights to rents and royalties from the oil and natural resources of Alaska for the citizens of Alaska, the APF now draws resource rents from other territories. </w:t>
      </w:r>
      <w:r w:rsidR="00135467" w:rsidRPr="00D51BBF">
        <w:rPr>
          <w:color w:val="000000" w:themeColor="text1"/>
        </w:rPr>
        <w:t>In other words, mandated by law to secure the continued prosperity of the citizens of Alask</w:t>
      </w:r>
      <w:r w:rsidR="00B90B58" w:rsidRPr="00D51BBF">
        <w:rPr>
          <w:color w:val="000000" w:themeColor="text1"/>
        </w:rPr>
        <w:t>a now and into the future, the f</w:t>
      </w:r>
      <w:r w:rsidR="00135467" w:rsidRPr="00D51BBF">
        <w:rPr>
          <w:color w:val="000000" w:themeColor="text1"/>
        </w:rPr>
        <w:t xml:space="preserve">und </w:t>
      </w:r>
      <w:r w:rsidRPr="00D51BBF">
        <w:rPr>
          <w:color w:val="000000" w:themeColor="text1"/>
        </w:rPr>
        <w:t>receives</w:t>
      </w:r>
      <w:r w:rsidR="00135467" w:rsidRPr="00D51BBF">
        <w:rPr>
          <w:color w:val="000000" w:themeColor="text1"/>
        </w:rPr>
        <w:t xml:space="preserve"> substantial </w:t>
      </w:r>
      <w:r w:rsidRPr="00D51BBF">
        <w:rPr>
          <w:color w:val="000000" w:themeColor="text1"/>
        </w:rPr>
        <w:t>payments</w:t>
      </w:r>
      <w:r w:rsidR="00135467" w:rsidRPr="00D51BBF">
        <w:rPr>
          <w:color w:val="000000" w:themeColor="text1"/>
        </w:rPr>
        <w:t xml:space="preserve"> from land and natural resources</w:t>
      </w:r>
      <w:r w:rsidRPr="00D51BBF">
        <w:rPr>
          <w:color w:val="000000" w:themeColor="text1"/>
        </w:rPr>
        <w:t xml:space="preserve"> worldwide</w:t>
      </w:r>
      <w:r w:rsidR="00135467" w:rsidRPr="00D51BBF">
        <w:rPr>
          <w:color w:val="000000" w:themeColor="text1"/>
        </w:rPr>
        <w:t xml:space="preserve"> </w:t>
      </w:r>
      <w:r w:rsidR="00B90B58" w:rsidRPr="00D51BBF">
        <w:rPr>
          <w:color w:val="000000" w:themeColor="text1"/>
        </w:rPr>
        <w:t>via f</w:t>
      </w:r>
      <w:r w:rsidR="00135467" w:rsidRPr="00D51BBF">
        <w:rPr>
          <w:color w:val="000000" w:themeColor="text1"/>
        </w:rPr>
        <w:t>und investments in real estate and stocks, as profits from the latter also include substantial am</w:t>
      </w:r>
      <w:r w:rsidRPr="00D51BBF">
        <w:rPr>
          <w:color w:val="000000" w:themeColor="text1"/>
        </w:rPr>
        <w:t>ounts of land and resource rent</w:t>
      </w:r>
      <w:r w:rsidR="00135467" w:rsidRPr="00D51BBF">
        <w:rPr>
          <w:color w:val="000000" w:themeColor="text1"/>
        </w:rPr>
        <w:t>.</w:t>
      </w:r>
      <w:r w:rsidR="00135467" w:rsidRPr="00D51BBF">
        <w:rPr>
          <w:rStyle w:val="FootnoteReference"/>
          <w:color w:val="000000" w:themeColor="text1"/>
        </w:rPr>
        <w:footnoteReference w:id="9"/>
      </w:r>
      <w:r w:rsidR="00135467" w:rsidRPr="00D51BBF">
        <w:rPr>
          <w:color w:val="000000" w:themeColor="text1"/>
        </w:rPr>
        <w:t xml:space="preserve">  </w:t>
      </w:r>
    </w:p>
    <w:p w:rsidR="00135467" w:rsidRPr="00D51BBF" w:rsidRDefault="00B90B58" w:rsidP="00135467">
      <w:pPr>
        <w:rPr>
          <w:rFonts w:ascii="Times New Roman" w:hAnsi="Times New Roman" w:cs="Times New Roman"/>
          <w:color w:val="000000" w:themeColor="text1"/>
          <w:sz w:val="24"/>
          <w:szCs w:val="24"/>
        </w:rPr>
      </w:pPr>
      <w:r w:rsidRPr="00D51BBF">
        <w:rPr>
          <w:rFonts w:ascii="Times New Roman" w:hAnsi="Times New Roman" w:cs="Times New Roman"/>
          <w:color w:val="000000" w:themeColor="text1"/>
          <w:sz w:val="24"/>
          <w:szCs w:val="24"/>
        </w:rPr>
        <w:t>Although the f</w:t>
      </w:r>
      <w:r w:rsidR="003E28E4" w:rsidRPr="00D51BBF">
        <w:rPr>
          <w:rFonts w:ascii="Times New Roman" w:hAnsi="Times New Roman" w:cs="Times New Roman"/>
          <w:color w:val="000000" w:themeColor="text1"/>
          <w:sz w:val="24"/>
          <w:szCs w:val="24"/>
        </w:rPr>
        <w:t xml:space="preserve">und states that it does not engage in social or political investing, the fact is that its status quo investment approach does indeed impact the social and political realities of people throughout the world. </w:t>
      </w:r>
      <w:r w:rsidR="007F4AC6" w:rsidRPr="00D51BBF">
        <w:rPr>
          <w:rFonts w:ascii="Times New Roman" w:hAnsi="Times New Roman" w:cs="Times New Roman"/>
          <w:color w:val="000000" w:themeColor="text1"/>
          <w:sz w:val="24"/>
          <w:szCs w:val="24"/>
        </w:rPr>
        <w:t xml:space="preserve">The </w:t>
      </w:r>
      <w:r w:rsidR="00135467" w:rsidRPr="00D51BBF">
        <w:rPr>
          <w:rFonts w:ascii="Times New Roman" w:hAnsi="Times New Roman" w:cs="Times New Roman"/>
          <w:color w:val="000000" w:themeColor="text1"/>
          <w:sz w:val="24"/>
          <w:szCs w:val="24"/>
        </w:rPr>
        <w:t>APF website</w:t>
      </w:r>
      <w:r w:rsidR="007F4AC6" w:rsidRPr="00D51BBF">
        <w:rPr>
          <w:rFonts w:ascii="Times New Roman" w:hAnsi="Times New Roman" w:cs="Times New Roman"/>
          <w:color w:val="000000" w:themeColor="text1"/>
          <w:sz w:val="24"/>
          <w:szCs w:val="24"/>
        </w:rPr>
        <w:t xml:space="preserve"> tells us</w:t>
      </w:r>
      <w:r w:rsidR="00135467" w:rsidRPr="00D51BBF">
        <w:rPr>
          <w:rFonts w:ascii="Times New Roman" w:hAnsi="Times New Roman" w:cs="Times New Roman"/>
          <w:color w:val="000000" w:themeColor="text1"/>
          <w:sz w:val="24"/>
          <w:szCs w:val="24"/>
        </w:rPr>
        <w:t xml:space="preserve"> that stocks are held in 59 countries and 60 sectors including oil, gas, coa</w:t>
      </w:r>
      <w:r w:rsidR="00FD770E">
        <w:rPr>
          <w:rFonts w:ascii="Times New Roman" w:hAnsi="Times New Roman" w:cs="Times New Roman"/>
          <w:color w:val="000000" w:themeColor="text1"/>
          <w:sz w:val="24"/>
          <w:szCs w:val="24"/>
        </w:rPr>
        <w:t>l and rubber. For example, the f</w:t>
      </w:r>
      <w:r w:rsidR="00135467" w:rsidRPr="00D51BBF">
        <w:rPr>
          <w:rFonts w:ascii="Times New Roman" w:hAnsi="Times New Roman" w:cs="Times New Roman"/>
          <w:color w:val="000000" w:themeColor="text1"/>
          <w:sz w:val="24"/>
          <w:szCs w:val="24"/>
        </w:rPr>
        <w:t>und has made substantial investments in ExxonMobil and Chevron. Both companies have major investments in Nigeria, a country where most of the people live in dire poverty. A recent news story</w:t>
      </w:r>
      <w:r w:rsidR="00135467" w:rsidRPr="00D51BBF">
        <w:rPr>
          <w:rStyle w:val="FootnoteReference"/>
          <w:rFonts w:ascii="Times New Roman" w:hAnsi="Times New Roman" w:cs="Times New Roman"/>
          <w:color w:val="000000" w:themeColor="text1"/>
          <w:sz w:val="24"/>
          <w:szCs w:val="24"/>
        </w:rPr>
        <w:footnoteReference w:id="10"/>
      </w:r>
      <w:r w:rsidR="00D10231" w:rsidRPr="00D51BBF">
        <w:rPr>
          <w:rFonts w:ascii="Times New Roman" w:hAnsi="Times New Roman" w:cs="Times New Roman"/>
          <w:color w:val="000000" w:themeColor="text1"/>
          <w:sz w:val="24"/>
          <w:szCs w:val="24"/>
        </w:rPr>
        <w:t xml:space="preserve"> </w:t>
      </w:r>
      <w:r w:rsidR="0093371D">
        <w:rPr>
          <w:rFonts w:ascii="Times New Roman" w:hAnsi="Times New Roman" w:cs="Times New Roman"/>
          <w:color w:val="000000" w:themeColor="text1"/>
          <w:sz w:val="24"/>
          <w:szCs w:val="24"/>
        </w:rPr>
        <w:t>tells us that</w:t>
      </w:r>
      <w:r w:rsidR="00135467" w:rsidRPr="00D51BBF">
        <w:rPr>
          <w:rFonts w:ascii="Times New Roman" w:hAnsi="Times New Roman" w:cs="Times New Roman"/>
          <w:color w:val="000000" w:themeColor="text1"/>
          <w:sz w:val="24"/>
          <w:szCs w:val="24"/>
        </w:rPr>
        <w:t>:</w:t>
      </w:r>
    </w:p>
    <w:p w:rsidR="00135467" w:rsidRPr="00D51BBF" w:rsidRDefault="00135467" w:rsidP="00135467">
      <w:pPr>
        <w:ind w:left="720"/>
        <w:rPr>
          <w:rFonts w:ascii="Times New Roman" w:hAnsi="Times New Roman" w:cs="Times New Roman"/>
          <w:color w:val="000000" w:themeColor="text1"/>
          <w:sz w:val="24"/>
          <w:szCs w:val="24"/>
        </w:rPr>
      </w:pPr>
      <w:r w:rsidRPr="00D51BBF">
        <w:rPr>
          <w:rFonts w:ascii="Times New Roman" w:hAnsi="Times New Roman" w:cs="Times New Roman"/>
          <w:color w:val="000000" w:themeColor="text1"/>
          <w:sz w:val="24"/>
          <w:szCs w:val="24"/>
        </w:rPr>
        <w:t>ExxonMobil has disclosed</w:t>
      </w:r>
      <w:r w:rsidR="00A31D0E">
        <w:rPr>
          <w:rFonts w:ascii="Times New Roman" w:hAnsi="Times New Roman" w:cs="Times New Roman"/>
          <w:color w:val="000000" w:themeColor="text1"/>
          <w:sz w:val="24"/>
          <w:szCs w:val="24"/>
        </w:rPr>
        <w:t xml:space="preserve"> that it</w:t>
      </w:r>
      <w:r w:rsidRPr="00D51BBF">
        <w:rPr>
          <w:rFonts w:ascii="Times New Roman" w:hAnsi="Times New Roman" w:cs="Times New Roman"/>
          <w:color w:val="000000" w:themeColor="text1"/>
          <w:sz w:val="24"/>
          <w:szCs w:val="24"/>
        </w:rPr>
        <w:t xml:space="preserve"> is investing over 2 billion U.S. dollars annually in the exploration and production of oil and gas reserves in Nigeria. But the company is not abiding by its agreements to hire and maintain indigenous workers. According to a news story:</w:t>
      </w:r>
    </w:p>
    <w:p w:rsidR="00135467" w:rsidRPr="00D51BBF" w:rsidRDefault="00135467" w:rsidP="00135467">
      <w:pPr>
        <w:pStyle w:val="NormalWeb"/>
        <w:shd w:val="clear" w:color="auto" w:fill="FFFFFF"/>
        <w:ind w:left="720"/>
        <w:rPr>
          <w:color w:val="000000" w:themeColor="text1"/>
        </w:rPr>
      </w:pPr>
      <w:r w:rsidRPr="00D51BBF">
        <w:rPr>
          <w:color w:val="000000" w:themeColor="text1"/>
        </w:rPr>
        <w:t>The domination of the Nigerian oil industry by foreigners came under attack today as the Petroleum and Natural Gas Senior Staff Senior Staff Association of Nigeria (PENGASSAN) in Mobil Producing Nigeria (MPN) commenced an indefinite strike over the sacking of 84 Nigerian oil workers by the company. The workers, numbering hundreds, blocked the gates to the Qua Iboe Terminal at Ibeno, Akwa Ibom, as they reported for work at the facility.</w:t>
      </w:r>
    </w:p>
    <w:p w:rsidR="00135467" w:rsidRPr="00D51BBF" w:rsidRDefault="00135467" w:rsidP="00135467">
      <w:pPr>
        <w:pStyle w:val="NormalWeb"/>
        <w:shd w:val="clear" w:color="auto" w:fill="FFFFFF"/>
        <w:ind w:left="720"/>
        <w:rPr>
          <w:color w:val="000000" w:themeColor="text1"/>
        </w:rPr>
      </w:pPr>
      <w:r w:rsidRPr="00D51BBF">
        <w:rPr>
          <w:color w:val="000000" w:themeColor="text1"/>
        </w:rPr>
        <w:t>The Nigerian oil workers in ExxonMobil’s Nigerian unit began the showdown with the management arguing that the sacking indigenous workers in the guise of cost-cutting is against Nigeria’s national interests and leaves the oil sector in the hands of expatriates.</w:t>
      </w:r>
    </w:p>
    <w:p w:rsidR="00135467" w:rsidRPr="00D51BBF" w:rsidRDefault="00135467" w:rsidP="00135467">
      <w:pPr>
        <w:pStyle w:val="NormalWeb"/>
        <w:shd w:val="clear" w:color="auto" w:fill="FFFFFF"/>
        <w:ind w:left="720"/>
        <w:rPr>
          <w:color w:val="000000" w:themeColor="text1"/>
        </w:rPr>
      </w:pPr>
      <w:r w:rsidRPr="00D51BBF">
        <w:rPr>
          <w:color w:val="000000" w:themeColor="text1"/>
        </w:rPr>
        <w:t>They are accusing the oil firm of discriminatory labour practices that favour expatriates at the expense of indigenous manpower. The labour leaders said they were compelled to embark on the strike because the management of the oil firm sacked the affected workers unilaterally, without consulting the union, in violation of laid-down procedures.</w:t>
      </w:r>
      <w:r w:rsidRPr="00D51BBF">
        <w:rPr>
          <w:rStyle w:val="FootnoteReference"/>
          <w:color w:val="000000" w:themeColor="text1"/>
        </w:rPr>
        <w:t xml:space="preserve"> </w:t>
      </w:r>
      <w:r w:rsidRPr="00D51BBF">
        <w:rPr>
          <w:rStyle w:val="FootnoteReference"/>
          <w:color w:val="000000" w:themeColor="text1"/>
        </w:rPr>
        <w:footnoteReference w:id="11"/>
      </w:r>
    </w:p>
    <w:p w:rsidR="00135467" w:rsidRPr="00D51BBF" w:rsidRDefault="00135467" w:rsidP="00135467">
      <w:pPr>
        <w:rPr>
          <w:rFonts w:ascii="Times New Roman" w:hAnsi="Times New Roman" w:cs="Times New Roman"/>
          <w:color w:val="000000" w:themeColor="text1"/>
          <w:sz w:val="24"/>
          <w:szCs w:val="24"/>
        </w:rPr>
      </w:pPr>
      <w:r w:rsidRPr="00D51BBF">
        <w:rPr>
          <w:rFonts w:ascii="Times New Roman" w:hAnsi="Times New Roman" w:cs="Times New Roman"/>
          <w:color w:val="000000" w:themeColor="text1"/>
          <w:sz w:val="24"/>
          <w:szCs w:val="24"/>
        </w:rPr>
        <w:t>Regarding the “investment climate” in Nigeria, Am</w:t>
      </w:r>
      <w:r w:rsidR="00D10231" w:rsidRPr="00D51BBF">
        <w:rPr>
          <w:rFonts w:ascii="Times New Roman" w:hAnsi="Times New Roman" w:cs="Times New Roman"/>
          <w:color w:val="000000" w:themeColor="text1"/>
          <w:sz w:val="24"/>
          <w:szCs w:val="24"/>
        </w:rPr>
        <w:t>nesty International reports</w:t>
      </w:r>
      <w:r w:rsidRPr="00D51BBF">
        <w:rPr>
          <w:rFonts w:ascii="Times New Roman" w:hAnsi="Times New Roman" w:cs="Times New Roman"/>
          <w:color w:val="000000" w:themeColor="text1"/>
          <w:sz w:val="24"/>
          <w:szCs w:val="24"/>
        </w:rPr>
        <w:t>:</w:t>
      </w:r>
    </w:p>
    <w:p w:rsidR="00135467" w:rsidRPr="00D51BBF" w:rsidRDefault="00135467" w:rsidP="00135467">
      <w:pPr>
        <w:ind w:left="720"/>
        <w:rPr>
          <w:rFonts w:ascii="Times New Roman" w:hAnsi="Times New Roman" w:cs="Times New Roman"/>
          <w:color w:val="000000" w:themeColor="text1"/>
          <w:sz w:val="24"/>
          <w:szCs w:val="24"/>
        </w:rPr>
      </w:pPr>
      <w:r w:rsidRPr="00D51BBF">
        <w:rPr>
          <w:rFonts w:ascii="Times New Roman" w:hAnsi="Times New Roman" w:cs="Times New Roman"/>
          <w:color w:val="000000" w:themeColor="text1"/>
          <w:sz w:val="24"/>
          <w:szCs w:val="24"/>
        </w:rPr>
        <w:t>Ten years after the internationally condemned executions of the "Ogoni 9," including Ken Saro-Wiwa, the legacy of human rights violations in the Niger Delta continues. Amnesty's recent report, "Claiming rights and resources: Injustice, oil and violence in Nigeria," calls particular attention to the human rights violations and failures of the Nigerian government, Chevron Corporation (CVX) and Shell Oil…. Despite video of beatings and independent observers accounts of violence, Chevron (CVX) has not lived up to its human rights responsibilities.</w:t>
      </w:r>
      <w:r w:rsidR="00102FDA" w:rsidRPr="00D51BBF">
        <w:rPr>
          <w:rStyle w:val="FootnoteReference"/>
          <w:rFonts w:ascii="Times New Roman" w:hAnsi="Times New Roman" w:cs="Times New Roman"/>
          <w:color w:val="000000" w:themeColor="text1"/>
          <w:sz w:val="24"/>
          <w:szCs w:val="24"/>
        </w:rPr>
        <w:footnoteReference w:id="12"/>
      </w:r>
    </w:p>
    <w:p w:rsidR="00135467" w:rsidRPr="00D51BBF" w:rsidRDefault="00135467" w:rsidP="00135467">
      <w:pPr>
        <w:rPr>
          <w:rFonts w:ascii="Times New Roman" w:hAnsi="Times New Roman" w:cs="Times New Roman"/>
          <w:color w:val="000000" w:themeColor="text1"/>
          <w:sz w:val="24"/>
          <w:szCs w:val="24"/>
        </w:rPr>
      </w:pPr>
      <w:r w:rsidRPr="00D51BBF">
        <w:rPr>
          <w:rFonts w:ascii="Times New Roman" w:hAnsi="Times New Roman" w:cs="Times New Roman"/>
          <w:color w:val="000000" w:themeColor="text1"/>
          <w:sz w:val="24"/>
          <w:szCs w:val="24"/>
        </w:rPr>
        <w:t xml:space="preserve">On the plus side, everyone in the world can view </w:t>
      </w:r>
      <w:r w:rsidR="00C0789E">
        <w:rPr>
          <w:rFonts w:ascii="Times New Roman" w:hAnsi="Times New Roman" w:cs="Times New Roman"/>
          <w:color w:val="000000" w:themeColor="text1"/>
          <w:sz w:val="24"/>
          <w:szCs w:val="24"/>
        </w:rPr>
        <w:t>APF investment details</w:t>
      </w:r>
      <w:r w:rsidR="000E7EAC" w:rsidRPr="00D51BBF">
        <w:rPr>
          <w:rFonts w:ascii="Times New Roman" w:hAnsi="Times New Roman" w:cs="Times New Roman"/>
          <w:color w:val="000000" w:themeColor="text1"/>
          <w:sz w:val="24"/>
          <w:szCs w:val="24"/>
        </w:rPr>
        <w:t xml:space="preserve">, including addresses, maps and photos, </w:t>
      </w:r>
      <w:r w:rsidRPr="00D51BBF">
        <w:rPr>
          <w:rFonts w:ascii="Times New Roman" w:hAnsi="Times New Roman" w:cs="Times New Roman"/>
          <w:color w:val="000000" w:themeColor="text1"/>
          <w:sz w:val="24"/>
          <w:szCs w:val="24"/>
        </w:rPr>
        <w:t xml:space="preserve">on the APF </w:t>
      </w:r>
      <w:r w:rsidR="000E7EAC" w:rsidRPr="00D51BBF">
        <w:rPr>
          <w:rFonts w:ascii="Times New Roman" w:hAnsi="Times New Roman" w:cs="Times New Roman"/>
          <w:color w:val="000000" w:themeColor="text1"/>
          <w:sz w:val="24"/>
          <w:szCs w:val="24"/>
        </w:rPr>
        <w:t>web</w:t>
      </w:r>
      <w:r w:rsidRPr="00D51BBF">
        <w:rPr>
          <w:rFonts w:ascii="Times New Roman" w:hAnsi="Times New Roman" w:cs="Times New Roman"/>
          <w:color w:val="000000" w:themeColor="text1"/>
          <w:sz w:val="24"/>
          <w:szCs w:val="24"/>
        </w:rPr>
        <w:t xml:space="preserve">site. </w:t>
      </w:r>
      <w:r w:rsidR="000E7EAC" w:rsidRPr="00D51BBF">
        <w:rPr>
          <w:rFonts w:ascii="Times New Roman" w:hAnsi="Times New Roman" w:cs="Times New Roman"/>
          <w:color w:val="000000" w:themeColor="text1"/>
          <w:sz w:val="24"/>
          <w:szCs w:val="24"/>
        </w:rPr>
        <w:t xml:space="preserve">All public institutions and </w:t>
      </w:r>
      <w:r w:rsidR="00C0789E">
        <w:rPr>
          <w:rFonts w:ascii="Times New Roman" w:hAnsi="Times New Roman" w:cs="Times New Roman"/>
          <w:color w:val="000000" w:themeColor="text1"/>
          <w:sz w:val="24"/>
          <w:szCs w:val="24"/>
        </w:rPr>
        <w:t>corporations</w:t>
      </w:r>
      <w:r w:rsidR="000E7EAC" w:rsidRPr="00D51BBF">
        <w:rPr>
          <w:rFonts w:ascii="Times New Roman" w:hAnsi="Times New Roman" w:cs="Times New Roman"/>
          <w:color w:val="000000" w:themeColor="text1"/>
          <w:sz w:val="24"/>
          <w:szCs w:val="24"/>
        </w:rPr>
        <w:t xml:space="preserve"> should display such</w:t>
      </w:r>
      <w:r w:rsidRPr="00D51BBF">
        <w:rPr>
          <w:rFonts w:ascii="Times New Roman" w:hAnsi="Times New Roman" w:cs="Times New Roman"/>
          <w:color w:val="000000" w:themeColor="text1"/>
          <w:sz w:val="24"/>
          <w:szCs w:val="24"/>
        </w:rPr>
        <w:t xml:space="preserve"> a high degree of transp</w:t>
      </w:r>
      <w:r w:rsidR="000E7EAC" w:rsidRPr="00D51BBF">
        <w:rPr>
          <w:rFonts w:ascii="Times New Roman" w:hAnsi="Times New Roman" w:cs="Times New Roman"/>
          <w:color w:val="000000" w:themeColor="text1"/>
          <w:sz w:val="24"/>
          <w:szCs w:val="24"/>
        </w:rPr>
        <w:t>arency.</w:t>
      </w:r>
    </w:p>
    <w:p w:rsidR="00603006" w:rsidRPr="00D51BBF" w:rsidRDefault="00603006" w:rsidP="00603006">
      <w:pPr>
        <w:pStyle w:val="NormalWeb"/>
        <w:rPr>
          <w:color w:val="000000" w:themeColor="text1"/>
        </w:rPr>
      </w:pPr>
      <w:r w:rsidRPr="00D51BBF">
        <w:rPr>
          <w:color w:val="000000" w:themeColor="text1"/>
        </w:rPr>
        <w:t>Ultimately, the only rational, supportable, moral, just and ethical basis upon which the citizens of Alaska can assert a claim to the oil resources of Alaska is by birthright to the gifts of nature. And that cannot be an exclusive claim. The claim by birthright can only be legitimate if it is acknowledged that all other human beings have an equal claim to land and natural resources. The deepest ethical dimension of territorial rights recognizes that humanity is one and indivisible in its fundamental claim to the earth as a birthright of all.</w:t>
      </w:r>
      <w:r w:rsidRPr="00D51BBF">
        <w:rPr>
          <w:rStyle w:val="FootnoteReference"/>
          <w:color w:val="000000" w:themeColor="text1"/>
        </w:rPr>
        <w:footnoteReference w:id="13"/>
      </w:r>
      <w:r w:rsidRPr="00D51BBF">
        <w:rPr>
          <w:color w:val="000000" w:themeColor="text1"/>
        </w:rPr>
        <w:t xml:space="preserve"> </w:t>
      </w:r>
    </w:p>
    <w:p w:rsidR="00135467" w:rsidRPr="00D51BBF" w:rsidRDefault="00135467" w:rsidP="00135467">
      <w:pPr>
        <w:pStyle w:val="NormalWeb"/>
        <w:rPr>
          <w:color w:val="000000" w:themeColor="text1"/>
        </w:rPr>
      </w:pPr>
      <w:r w:rsidRPr="00D51BBF">
        <w:rPr>
          <w:color w:val="000000" w:themeColor="text1"/>
        </w:rPr>
        <w:t>T</w:t>
      </w:r>
      <w:r w:rsidR="00603006" w:rsidRPr="00D51BBF">
        <w:rPr>
          <w:color w:val="000000" w:themeColor="text1"/>
        </w:rPr>
        <w:t>herefore t</w:t>
      </w:r>
      <w:r w:rsidRPr="00D51BBF">
        <w:rPr>
          <w:color w:val="000000" w:themeColor="text1"/>
        </w:rPr>
        <w:t xml:space="preserve">he </w:t>
      </w:r>
      <w:r w:rsidR="00B90B58" w:rsidRPr="00D51BBF">
        <w:rPr>
          <w:color w:val="000000" w:themeColor="text1"/>
        </w:rPr>
        <w:t xml:space="preserve">citizens of Alaska would do well to hold public forums to review </w:t>
      </w:r>
      <w:r w:rsidRPr="00D51BBF">
        <w:rPr>
          <w:color w:val="000000" w:themeColor="text1"/>
        </w:rPr>
        <w:t>APF</w:t>
      </w:r>
      <w:r w:rsidR="00B90B58" w:rsidRPr="00D51BBF">
        <w:rPr>
          <w:color w:val="000000" w:themeColor="text1"/>
        </w:rPr>
        <w:t xml:space="preserve"> investment criteria. </w:t>
      </w:r>
      <w:r w:rsidRPr="00D51BBF">
        <w:rPr>
          <w:color w:val="000000" w:themeColor="text1"/>
        </w:rPr>
        <w:t xml:space="preserve"> </w:t>
      </w:r>
      <w:r w:rsidR="009F5B97" w:rsidRPr="00D51BBF">
        <w:rPr>
          <w:color w:val="000000" w:themeColor="text1"/>
        </w:rPr>
        <w:t>They could consider establishing a broad humanitarian role for the fund in addition to the pruden</w:t>
      </w:r>
      <w:r w:rsidR="00C0789E">
        <w:rPr>
          <w:color w:val="000000" w:themeColor="text1"/>
        </w:rPr>
        <w:t xml:space="preserve">t investor rule. </w:t>
      </w:r>
      <w:r w:rsidR="009F5B97" w:rsidRPr="00D51BBF">
        <w:rPr>
          <w:color w:val="000000" w:themeColor="text1"/>
        </w:rPr>
        <w:t>A potential outcome of such fo</w:t>
      </w:r>
      <w:r w:rsidR="00C0789E">
        <w:rPr>
          <w:color w:val="000000" w:themeColor="text1"/>
        </w:rPr>
        <w:t xml:space="preserve">rums could be new directives requiring </w:t>
      </w:r>
      <w:r w:rsidR="009F5B97" w:rsidRPr="00D51BBF">
        <w:rPr>
          <w:color w:val="000000" w:themeColor="text1"/>
        </w:rPr>
        <w:t>managers</w:t>
      </w:r>
      <w:r w:rsidR="00C0789E">
        <w:rPr>
          <w:color w:val="000000" w:themeColor="text1"/>
        </w:rPr>
        <w:t xml:space="preserve"> of the fund</w:t>
      </w:r>
      <w:r w:rsidR="00642959">
        <w:rPr>
          <w:color w:val="000000" w:themeColor="text1"/>
        </w:rPr>
        <w:t xml:space="preserve"> to invest in</w:t>
      </w:r>
      <w:r w:rsidR="009F5B97" w:rsidRPr="00D51BBF">
        <w:rPr>
          <w:color w:val="000000" w:themeColor="text1"/>
        </w:rPr>
        <w:t xml:space="preserve"> (1) the development of </w:t>
      </w:r>
      <w:r w:rsidRPr="00D51BBF">
        <w:rPr>
          <w:color w:val="000000" w:themeColor="text1"/>
        </w:rPr>
        <w:t>renewable energy technology; (2) strictly goods and services businesses and industries; and (3) in places and in ways that would support the emergence of forms of governance holding principles aligne</w:t>
      </w:r>
      <w:r w:rsidR="00B90B58" w:rsidRPr="00D51BBF">
        <w:rPr>
          <w:color w:val="000000" w:themeColor="text1"/>
        </w:rPr>
        <w:t xml:space="preserve">d with the primary </w:t>
      </w:r>
      <w:r w:rsidR="00C0789E">
        <w:rPr>
          <w:color w:val="000000" w:themeColor="text1"/>
        </w:rPr>
        <w:t xml:space="preserve">goals </w:t>
      </w:r>
      <w:r w:rsidR="00B90B58" w:rsidRPr="00D51BBF">
        <w:rPr>
          <w:color w:val="000000" w:themeColor="text1"/>
        </w:rPr>
        <w:t>of the f</w:t>
      </w:r>
      <w:r w:rsidRPr="00D51BBF">
        <w:rPr>
          <w:color w:val="000000" w:themeColor="text1"/>
        </w:rPr>
        <w:t xml:space="preserve">und, i.e., </w:t>
      </w:r>
      <w:r w:rsidR="009F5B97" w:rsidRPr="00D51BBF">
        <w:rPr>
          <w:color w:val="000000" w:themeColor="text1"/>
        </w:rPr>
        <w:t>the collection and distribution of resource rent</w:t>
      </w:r>
      <w:r w:rsidRPr="00D51BBF">
        <w:rPr>
          <w:color w:val="000000" w:themeColor="text1"/>
        </w:rPr>
        <w:t xml:space="preserve"> as a common heritage right for all people on an equal and democratic basis. </w:t>
      </w:r>
    </w:p>
    <w:p w:rsidR="009B457E" w:rsidRPr="00D51BBF" w:rsidRDefault="00336C39" w:rsidP="00135467">
      <w:pPr>
        <w:pStyle w:val="NormalWeb"/>
        <w:rPr>
          <w:color w:val="000000" w:themeColor="text1"/>
        </w:rPr>
      </w:pPr>
      <w:r w:rsidRPr="00D51BBF">
        <w:rPr>
          <w:color w:val="000000" w:themeColor="text1"/>
        </w:rPr>
        <w:t>New res</w:t>
      </w:r>
      <w:r w:rsidR="009B457E" w:rsidRPr="00D51BBF">
        <w:rPr>
          <w:color w:val="000000" w:themeColor="text1"/>
        </w:rPr>
        <w:t xml:space="preserve">ource rent funds, if they intend </w:t>
      </w:r>
      <w:r w:rsidRPr="00D51BBF">
        <w:rPr>
          <w:color w:val="000000" w:themeColor="text1"/>
        </w:rPr>
        <w:t xml:space="preserve">to distribute </w:t>
      </w:r>
      <w:r w:rsidR="00C0789E">
        <w:rPr>
          <w:color w:val="000000" w:themeColor="text1"/>
        </w:rPr>
        <w:t>dividends</w:t>
      </w:r>
      <w:r w:rsidRPr="00D51BBF">
        <w:rPr>
          <w:color w:val="000000" w:themeColor="text1"/>
        </w:rPr>
        <w:t xml:space="preserve"> from an investment portfolio, should </w:t>
      </w:r>
      <w:r w:rsidR="00C0789E">
        <w:rPr>
          <w:color w:val="000000" w:themeColor="text1"/>
        </w:rPr>
        <w:t xml:space="preserve">be based on </w:t>
      </w:r>
      <w:r w:rsidR="009B457E" w:rsidRPr="00D51BBF">
        <w:rPr>
          <w:color w:val="000000" w:themeColor="text1"/>
        </w:rPr>
        <w:t xml:space="preserve">socially and environmentally responsible investment criteria. </w:t>
      </w:r>
      <w:r w:rsidR="00D2469A" w:rsidRPr="00D51BBF">
        <w:rPr>
          <w:color w:val="000000" w:themeColor="text1"/>
        </w:rPr>
        <w:t xml:space="preserve"> </w:t>
      </w:r>
      <w:r w:rsidR="009B457E" w:rsidRPr="00D51BBF">
        <w:rPr>
          <w:color w:val="000000" w:themeColor="text1"/>
        </w:rPr>
        <w:t xml:space="preserve">Portfolio investment managers can either develop their own </w:t>
      </w:r>
      <w:r w:rsidR="00C0789E">
        <w:rPr>
          <w:color w:val="000000" w:themeColor="text1"/>
        </w:rPr>
        <w:t>protocols</w:t>
      </w:r>
      <w:r w:rsidR="009B457E" w:rsidRPr="00D51BBF">
        <w:rPr>
          <w:color w:val="000000" w:themeColor="text1"/>
        </w:rPr>
        <w:t xml:space="preserve"> or simply place their </w:t>
      </w:r>
      <w:r w:rsidR="00C0789E">
        <w:rPr>
          <w:color w:val="000000" w:themeColor="text1"/>
        </w:rPr>
        <w:t>investments</w:t>
      </w:r>
      <w:r w:rsidR="009B457E" w:rsidRPr="00D51BBF">
        <w:rPr>
          <w:color w:val="000000" w:themeColor="text1"/>
        </w:rPr>
        <w:t xml:space="preserve"> </w:t>
      </w:r>
      <w:r w:rsidR="00C0789E">
        <w:rPr>
          <w:color w:val="000000" w:themeColor="text1"/>
        </w:rPr>
        <w:t>with</w:t>
      </w:r>
      <w:r w:rsidR="009B457E" w:rsidRPr="00D51BBF">
        <w:rPr>
          <w:color w:val="000000" w:themeColor="text1"/>
        </w:rPr>
        <w:t xml:space="preserve"> funds that have sustainable and responsible investment screens, such as Calvert Investments.</w:t>
      </w:r>
    </w:p>
    <w:p w:rsidR="00135467" w:rsidRPr="00D51BBF" w:rsidRDefault="00135467" w:rsidP="00135467">
      <w:pPr>
        <w:rPr>
          <w:rFonts w:ascii="Times New Roman" w:hAnsi="Times New Roman" w:cs="Times New Roman"/>
          <w:color w:val="000000" w:themeColor="text1"/>
          <w:sz w:val="24"/>
          <w:szCs w:val="24"/>
        </w:rPr>
      </w:pPr>
      <w:r w:rsidRPr="00D51BBF">
        <w:rPr>
          <w:rFonts w:ascii="Times New Roman" w:hAnsi="Times New Roman" w:cs="Times New Roman"/>
          <w:color w:val="000000" w:themeColor="text1"/>
          <w:sz w:val="24"/>
          <w:szCs w:val="24"/>
        </w:rPr>
        <w:t>Our criticism of the APF is not meant to detract from the fact that it is a very important (and the world’s only) example of a</w:t>
      </w:r>
      <w:r w:rsidR="008D6272" w:rsidRPr="00D51BBF">
        <w:rPr>
          <w:rFonts w:ascii="Times New Roman" w:hAnsi="Times New Roman" w:cs="Times New Roman"/>
          <w:color w:val="000000" w:themeColor="text1"/>
          <w:sz w:val="24"/>
          <w:szCs w:val="24"/>
        </w:rPr>
        <w:t xml:space="preserve"> state owned resource rent or </w:t>
      </w:r>
      <w:r w:rsidRPr="00D51BBF">
        <w:rPr>
          <w:rFonts w:ascii="Times New Roman" w:hAnsi="Times New Roman" w:cs="Times New Roman"/>
          <w:color w:val="000000" w:themeColor="text1"/>
          <w:sz w:val="24"/>
          <w:szCs w:val="24"/>
        </w:rPr>
        <w:t>“sovereign</w:t>
      </w:r>
      <w:r w:rsidR="008D6272" w:rsidRPr="00D51BBF">
        <w:rPr>
          <w:rFonts w:ascii="Times New Roman" w:hAnsi="Times New Roman" w:cs="Times New Roman"/>
          <w:color w:val="000000" w:themeColor="text1"/>
          <w:sz w:val="24"/>
          <w:szCs w:val="24"/>
        </w:rPr>
        <w:t xml:space="preserve"> wealth</w:t>
      </w:r>
      <w:r w:rsidRPr="00D51BBF">
        <w:rPr>
          <w:rFonts w:ascii="Times New Roman" w:hAnsi="Times New Roman" w:cs="Times New Roman"/>
          <w:color w:val="000000" w:themeColor="text1"/>
          <w:sz w:val="24"/>
          <w:szCs w:val="24"/>
        </w:rPr>
        <w:t xml:space="preserve">” fund that distributes annual dividends. We have much to learn from both the strengths and the shortcomings of the APF as we work to establish new institutions that collect and fairly share the value of our local to global commons.   </w:t>
      </w:r>
    </w:p>
    <w:p w:rsidR="00135467" w:rsidRPr="00D51BBF" w:rsidRDefault="00135467" w:rsidP="00135467">
      <w:pPr>
        <w:rPr>
          <w:rFonts w:ascii="Times New Roman" w:hAnsi="Times New Roman" w:cs="Times New Roman"/>
          <w:color w:val="000000" w:themeColor="text1"/>
          <w:sz w:val="24"/>
          <w:szCs w:val="24"/>
        </w:rPr>
      </w:pPr>
      <w:r w:rsidRPr="00D51BBF">
        <w:rPr>
          <w:rFonts w:ascii="Times New Roman" w:hAnsi="Times New Roman" w:cs="Times New Roman"/>
          <w:color w:val="000000" w:themeColor="text1"/>
          <w:sz w:val="24"/>
          <w:szCs w:val="24"/>
        </w:rPr>
        <w:t xml:space="preserve">Let us be clear that governments should recover the maximum amount of the rent of extractive resources, meaning the surplus value beyond the costs of labor and capital. Governments should also establish, monitor and enforce environmental standards. </w:t>
      </w:r>
      <w:r w:rsidR="009A6ACB" w:rsidRPr="00D51BBF">
        <w:rPr>
          <w:rFonts w:ascii="Times New Roman" w:hAnsi="Times New Roman" w:cs="Times New Roman"/>
          <w:color w:val="000000" w:themeColor="text1"/>
          <w:sz w:val="24"/>
          <w:szCs w:val="24"/>
        </w:rPr>
        <w:t xml:space="preserve"> </w:t>
      </w:r>
      <w:r w:rsidRPr="00D51BBF">
        <w:rPr>
          <w:rFonts w:ascii="Times New Roman" w:hAnsi="Times New Roman" w:cs="Times New Roman"/>
          <w:color w:val="000000" w:themeColor="text1"/>
          <w:sz w:val="24"/>
          <w:szCs w:val="24"/>
        </w:rPr>
        <w:t xml:space="preserve">Rent recovery </w:t>
      </w:r>
      <w:r w:rsidR="009A6ACB" w:rsidRPr="00D51BBF">
        <w:rPr>
          <w:rFonts w:ascii="Times New Roman" w:hAnsi="Times New Roman" w:cs="Times New Roman"/>
          <w:color w:val="000000" w:themeColor="text1"/>
          <w:sz w:val="24"/>
          <w:szCs w:val="24"/>
        </w:rPr>
        <w:t>can</w:t>
      </w:r>
      <w:r w:rsidRPr="00D51BBF">
        <w:rPr>
          <w:rFonts w:ascii="Times New Roman" w:hAnsi="Times New Roman" w:cs="Times New Roman"/>
          <w:color w:val="000000" w:themeColor="text1"/>
          <w:sz w:val="24"/>
          <w:szCs w:val="24"/>
        </w:rPr>
        <w:t xml:space="preserve"> pay for </w:t>
      </w:r>
      <w:r w:rsidR="009A6ACB" w:rsidRPr="00D51BBF">
        <w:rPr>
          <w:rFonts w:ascii="Times New Roman" w:hAnsi="Times New Roman" w:cs="Times New Roman"/>
          <w:color w:val="000000" w:themeColor="text1"/>
          <w:sz w:val="24"/>
          <w:szCs w:val="24"/>
        </w:rPr>
        <w:t>these safeguards</w:t>
      </w:r>
      <w:r w:rsidRPr="00D51BBF">
        <w:rPr>
          <w:rFonts w:ascii="Times New Roman" w:hAnsi="Times New Roman" w:cs="Times New Roman"/>
          <w:color w:val="000000" w:themeColor="text1"/>
          <w:sz w:val="24"/>
          <w:szCs w:val="24"/>
        </w:rPr>
        <w:t>. A first step is to determine the specific amounts that corporations are currently paying governments for access to oil and other natural resources and how those funds are being spent. An unfortunate reality is that in a number of countries corrupt politicians are squandering the royalties that companies pay their governments. Information transparency</w:t>
      </w:r>
      <w:r w:rsidRPr="00D51BBF">
        <w:rPr>
          <w:rStyle w:val="FootnoteReference"/>
          <w:rFonts w:ascii="Times New Roman" w:hAnsi="Times New Roman" w:cs="Times New Roman"/>
          <w:color w:val="000000" w:themeColor="text1"/>
          <w:sz w:val="24"/>
          <w:szCs w:val="24"/>
        </w:rPr>
        <w:footnoteReference w:id="14"/>
      </w:r>
      <w:r w:rsidRPr="00D51BBF">
        <w:rPr>
          <w:rFonts w:ascii="Times New Roman" w:hAnsi="Times New Roman" w:cs="Times New Roman"/>
          <w:color w:val="000000" w:themeColor="text1"/>
          <w:sz w:val="24"/>
          <w:szCs w:val="24"/>
        </w:rPr>
        <w:t xml:space="preserve"> will drive the next steps in forming resource rent funds. </w:t>
      </w:r>
    </w:p>
    <w:p w:rsidR="00135467" w:rsidRPr="00D51BBF" w:rsidRDefault="00135467" w:rsidP="00135467">
      <w:pPr>
        <w:rPr>
          <w:rFonts w:ascii="Times New Roman" w:hAnsi="Times New Roman" w:cs="Times New Roman"/>
          <w:color w:val="000000" w:themeColor="text1"/>
          <w:sz w:val="24"/>
          <w:szCs w:val="24"/>
        </w:rPr>
      </w:pPr>
      <w:r w:rsidRPr="00D51BBF">
        <w:rPr>
          <w:rFonts w:ascii="Times New Roman" w:hAnsi="Times New Roman" w:cs="Times New Roman"/>
          <w:color w:val="000000" w:themeColor="text1"/>
          <w:sz w:val="24"/>
          <w:szCs w:val="24"/>
        </w:rPr>
        <w:t xml:space="preserve">NGOs and other citizen based organizations need to apply the same pressures for transparency to surface land, mapping who owns what land where and determining its value in terms of locational and other advantages. Calculations can give a rough estimate of how much could be available for citizen dividend payments, giving impetus for movements </w:t>
      </w:r>
      <w:r w:rsidR="00C0789E">
        <w:rPr>
          <w:rFonts w:ascii="Times New Roman" w:hAnsi="Times New Roman" w:cs="Times New Roman"/>
          <w:color w:val="000000" w:themeColor="text1"/>
          <w:sz w:val="24"/>
          <w:szCs w:val="24"/>
        </w:rPr>
        <w:t>to implement land rent capture /</w:t>
      </w:r>
      <w:r w:rsidRPr="00D51BBF">
        <w:rPr>
          <w:rFonts w:ascii="Times New Roman" w:hAnsi="Times New Roman" w:cs="Times New Roman"/>
          <w:color w:val="000000" w:themeColor="text1"/>
          <w:sz w:val="24"/>
          <w:szCs w:val="24"/>
        </w:rPr>
        <w:t xml:space="preserve"> land value taxation.</w:t>
      </w:r>
    </w:p>
    <w:p w:rsidR="00135467" w:rsidRPr="00D51BBF" w:rsidRDefault="00135467" w:rsidP="00135467">
      <w:pPr>
        <w:rPr>
          <w:rFonts w:ascii="Times New Roman" w:hAnsi="Times New Roman" w:cs="Times New Roman"/>
          <w:color w:val="000000" w:themeColor="text1"/>
          <w:sz w:val="24"/>
          <w:szCs w:val="24"/>
        </w:rPr>
      </w:pPr>
      <w:r w:rsidRPr="00D51BBF">
        <w:rPr>
          <w:rFonts w:ascii="Times New Roman" w:hAnsi="Times New Roman" w:cs="Times New Roman"/>
          <w:color w:val="000000" w:themeColor="text1"/>
          <w:sz w:val="24"/>
          <w:szCs w:val="24"/>
        </w:rPr>
        <w:t>When green taxes and resource rent funds are implemented worldwide, there will be greatly reduced opportunities for people to be exploited by either internal corruption or external predatory forces seeking only to profit from access to natural resources. Governance will take the form of what might be called “earth rights democracy”</w:t>
      </w:r>
      <w:r w:rsidR="00C0789E">
        <w:rPr>
          <w:rStyle w:val="FootnoteReference"/>
          <w:rFonts w:ascii="Times New Roman" w:hAnsi="Times New Roman" w:cs="Times New Roman"/>
          <w:color w:val="000000" w:themeColor="text1"/>
          <w:sz w:val="24"/>
          <w:szCs w:val="24"/>
        </w:rPr>
        <w:footnoteReference w:id="15"/>
      </w:r>
      <w:r w:rsidRPr="00D51BBF">
        <w:rPr>
          <w:rFonts w:ascii="Times New Roman" w:hAnsi="Times New Roman" w:cs="Times New Roman"/>
          <w:color w:val="000000" w:themeColor="text1"/>
          <w:sz w:val="24"/>
          <w:szCs w:val="24"/>
        </w:rPr>
        <w:t xml:space="preserve"> whereby the needs of the people and the planet’s environment and other life forms are as important as profit, the so-called “triple bottom line.”</w:t>
      </w:r>
    </w:p>
    <w:p w:rsidR="00135467" w:rsidRPr="00D51BBF" w:rsidRDefault="00135467" w:rsidP="00135467">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D51BBF">
        <w:rPr>
          <w:rFonts w:ascii="Times New Roman" w:eastAsia="Times New Roman" w:hAnsi="Times New Roman" w:cs="Times New Roman"/>
          <w:color w:val="000000" w:themeColor="text1"/>
          <w:sz w:val="24"/>
          <w:szCs w:val="24"/>
        </w:rPr>
        <w:t xml:space="preserve">Wars are most often fought over the control of land and natural resources. In order to build a world of peace and plenty it is urgent that correctly and carefully structured </w:t>
      </w:r>
      <w:r w:rsidR="00B9608F">
        <w:rPr>
          <w:rFonts w:ascii="Times New Roman" w:eastAsia="Times New Roman" w:hAnsi="Times New Roman" w:cs="Times New Roman"/>
          <w:color w:val="000000" w:themeColor="text1"/>
          <w:sz w:val="24"/>
          <w:szCs w:val="24"/>
        </w:rPr>
        <w:t>resource rent (aka commons or sovereign wealth)</w:t>
      </w:r>
      <w:r w:rsidRPr="00D51BBF">
        <w:rPr>
          <w:rFonts w:ascii="Times New Roman" w:eastAsia="Times New Roman" w:hAnsi="Times New Roman" w:cs="Times New Roman"/>
          <w:color w:val="000000" w:themeColor="text1"/>
          <w:sz w:val="24"/>
          <w:szCs w:val="24"/>
        </w:rPr>
        <w:t xml:space="preserve"> funds that both care for the earth and share </w:t>
      </w:r>
      <w:r w:rsidR="00B9608F">
        <w:rPr>
          <w:rFonts w:ascii="Times New Roman" w:eastAsia="Times New Roman" w:hAnsi="Times New Roman" w:cs="Times New Roman"/>
          <w:color w:val="000000" w:themeColor="text1"/>
          <w:sz w:val="24"/>
          <w:szCs w:val="24"/>
        </w:rPr>
        <w:t>the economic surplus</w:t>
      </w:r>
      <w:r w:rsidRPr="00D51BBF">
        <w:rPr>
          <w:rFonts w:ascii="Times New Roman" w:eastAsia="Times New Roman" w:hAnsi="Times New Roman" w:cs="Times New Roman"/>
          <w:color w:val="000000" w:themeColor="text1"/>
          <w:sz w:val="24"/>
          <w:szCs w:val="24"/>
        </w:rPr>
        <w:t xml:space="preserve"> be established on all levels from local to global. Percentages of total resource revenues collected could be disbursed up or down these levels based on development criteria, as some nations and regions of the earth are better endowed with natural resources than others.  Appropriate tax bases to fund cities, regions, states and up to the global level can be delineated as follows, with “polluter pay” green taxes levied at each level:</w:t>
      </w:r>
      <w:r w:rsidRPr="00D51BBF">
        <w:rPr>
          <w:rStyle w:val="FootnoteReference"/>
          <w:rFonts w:ascii="Times New Roman" w:eastAsia="Times New Roman" w:hAnsi="Times New Roman" w:cs="Times New Roman"/>
          <w:color w:val="000000" w:themeColor="text1"/>
          <w:sz w:val="24"/>
          <w:szCs w:val="24"/>
        </w:rPr>
        <w:footnoteReference w:id="16"/>
      </w:r>
      <w:r w:rsidRPr="00D51BBF">
        <w:rPr>
          <w:rFonts w:ascii="Times New Roman" w:eastAsia="Times New Roman" w:hAnsi="Times New Roman" w:cs="Times New Roman"/>
          <w:color w:val="000000" w:themeColor="text1"/>
          <w:sz w:val="24"/>
          <w:szCs w:val="24"/>
        </w:rPr>
        <w:t xml:space="preserve"> </w:t>
      </w:r>
    </w:p>
    <w:p w:rsidR="00135467" w:rsidRPr="00D51BBF" w:rsidRDefault="00135467" w:rsidP="00135467">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D51BBF">
        <w:rPr>
          <w:rFonts w:ascii="Times New Roman" w:eastAsia="Times New Roman" w:hAnsi="Times New Roman" w:cs="Times New Roman"/>
          <w:iCs/>
          <w:color w:val="000000" w:themeColor="text1"/>
          <w:sz w:val="24"/>
          <w:szCs w:val="24"/>
        </w:rPr>
        <w:t>LOCAL:</w:t>
      </w:r>
      <w:r w:rsidRPr="00D51BBF">
        <w:rPr>
          <w:rFonts w:ascii="Times New Roman" w:eastAsia="Times New Roman" w:hAnsi="Times New Roman" w:cs="Times New Roman"/>
          <w:i/>
          <w:iCs/>
          <w:color w:val="000000" w:themeColor="text1"/>
          <w:sz w:val="24"/>
          <w:szCs w:val="24"/>
        </w:rPr>
        <w:t xml:space="preserve"> </w:t>
      </w:r>
      <w:r w:rsidRPr="00D51BBF">
        <w:rPr>
          <w:rFonts w:ascii="Times New Roman" w:eastAsia="Times New Roman" w:hAnsi="Times New Roman" w:cs="Times New Roman"/>
          <w:color w:val="000000" w:themeColor="text1"/>
          <w:sz w:val="24"/>
          <w:szCs w:val="24"/>
        </w:rPr>
        <w:t xml:space="preserve">Surface land values, such as sites for homes, businesses and industrial activities, are </w:t>
      </w:r>
      <w:r w:rsidR="00B9608F">
        <w:rPr>
          <w:rFonts w:ascii="Times New Roman" w:eastAsia="Times New Roman" w:hAnsi="Times New Roman" w:cs="Times New Roman"/>
          <w:color w:val="000000" w:themeColor="text1"/>
          <w:sz w:val="24"/>
          <w:szCs w:val="24"/>
        </w:rPr>
        <w:t>sufficient</w:t>
      </w:r>
      <w:r w:rsidRPr="00D51BBF">
        <w:rPr>
          <w:rFonts w:ascii="Times New Roman" w:eastAsia="Times New Roman" w:hAnsi="Times New Roman" w:cs="Times New Roman"/>
          <w:color w:val="000000" w:themeColor="text1"/>
          <w:sz w:val="24"/>
          <w:szCs w:val="24"/>
        </w:rPr>
        <w:t xml:space="preserve"> to finance cities and towns.</w:t>
      </w:r>
      <w:r w:rsidR="00B9608F">
        <w:rPr>
          <w:rStyle w:val="FootnoteReference"/>
          <w:rFonts w:ascii="Times New Roman" w:eastAsia="Times New Roman" w:hAnsi="Times New Roman" w:cs="Times New Roman"/>
          <w:color w:val="000000" w:themeColor="text1"/>
          <w:sz w:val="24"/>
          <w:szCs w:val="24"/>
        </w:rPr>
        <w:footnoteReference w:id="17"/>
      </w:r>
      <w:r w:rsidR="00B9608F">
        <w:rPr>
          <w:rFonts w:ascii="Times New Roman" w:eastAsia="Times New Roman" w:hAnsi="Times New Roman" w:cs="Times New Roman"/>
          <w:color w:val="000000" w:themeColor="text1"/>
          <w:sz w:val="24"/>
          <w:szCs w:val="24"/>
        </w:rPr>
        <w:t xml:space="preserve"> </w:t>
      </w:r>
      <w:r w:rsidRPr="00D51BBF">
        <w:rPr>
          <w:rFonts w:ascii="Times New Roman" w:eastAsia="Times New Roman" w:hAnsi="Times New Roman" w:cs="Times New Roman"/>
          <w:color w:val="000000" w:themeColor="text1"/>
          <w:sz w:val="24"/>
          <w:szCs w:val="24"/>
        </w:rPr>
        <w:t xml:space="preserve"> Surface land rent commons funds, which can be created by a relatively simple restructuring of local property tax systems, also would be recommended for rural areas where it they would advance non-coercive land reform which could underpin the transition to organic farming and a revitalized rural 'eco-village' culture. </w:t>
      </w:r>
    </w:p>
    <w:p w:rsidR="00135467" w:rsidRPr="00D51BBF" w:rsidRDefault="00135467" w:rsidP="00135467">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D51BBF">
        <w:rPr>
          <w:rFonts w:ascii="Times New Roman" w:eastAsia="Times New Roman" w:hAnsi="Times New Roman" w:cs="Times New Roman"/>
          <w:iCs/>
          <w:color w:val="000000" w:themeColor="text1"/>
          <w:sz w:val="24"/>
          <w:szCs w:val="24"/>
        </w:rPr>
        <w:t>REGIONAL</w:t>
      </w:r>
      <w:r w:rsidRPr="00D51BBF">
        <w:rPr>
          <w:rFonts w:ascii="Times New Roman" w:eastAsia="Times New Roman" w:hAnsi="Times New Roman" w:cs="Times New Roman"/>
          <w:i/>
          <w:iCs/>
          <w:color w:val="000000" w:themeColor="text1"/>
          <w:sz w:val="24"/>
          <w:szCs w:val="24"/>
        </w:rPr>
        <w:t>:</w:t>
      </w:r>
      <w:r w:rsidRPr="00D51BBF">
        <w:rPr>
          <w:rFonts w:ascii="Times New Roman" w:eastAsia="Times New Roman" w:hAnsi="Times New Roman" w:cs="Times New Roman"/>
          <w:color w:val="000000" w:themeColor="text1"/>
          <w:sz w:val="24"/>
          <w:szCs w:val="24"/>
        </w:rPr>
        <w:t xml:space="preserve">  State, regional, or national bodies committed to transparent and </w:t>
      </w:r>
      <w:r w:rsidR="003B78D3">
        <w:rPr>
          <w:rFonts w:ascii="Times New Roman" w:eastAsia="Times New Roman" w:hAnsi="Times New Roman" w:cs="Times New Roman"/>
          <w:color w:val="000000" w:themeColor="text1"/>
          <w:sz w:val="24"/>
          <w:szCs w:val="24"/>
        </w:rPr>
        <w:t>fair</w:t>
      </w:r>
      <w:r w:rsidRPr="00D51BBF">
        <w:rPr>
          <w:rFonts w:ascii="Times New Roman" w:eastAsia="Times New Roman" w:hAnsi="Times New Roman" w:cs="Times New Roman"/>
          <w:color w:val="000000" w:themeColor="text1"/>
          <w:sz w:val="24"/>
          <w:szCs w:val="24"/>
        </w:rPr>
        <w:t xml:space="preserve"> governance could and should create </w:t>
      </w:r>
      <w:r w:rsidR="003B78D3">
        <w:rPr>
          <w:rFonts w:ascii="Times New Roman" w:eastAsia="Times New Roman" w:hAnsi="Times New Roman" w:cs="Times New Roman"/>
          <w:color w:val="000000" w:themeColor="text1"/>
          <w:sz w:val="24"/>
          <w:szCs w:val="24"/>
        </w:rPr>
        <w:t>resource wealth</w:t>
      </w:r>
      <w:r w:rsidRPr="00D51BBF">
        <w:rPr>
          <w:rFonts w:ascii="Times New Roman" w:eastAsia="Times New Roman" w:hAnsi="Times New Roman" w:cs="Times New Roman"/>
          <w:color w:val="000000" w:themeColor="text1"/>
          <w:sz w:val="24"/>
          <w:szCs w:val="24"/>
        </w:rPr>
        <w:t xml:space="preserve"> funds that collect user fees for forest, mineral, oil and water resources</w:t>
      </w:r>
      <w:r w:rsidR="003B78D3">
        <w:rPr>
          <w:rFonts w:ascii="Times New Roman" w:eastAsia="Times New Roman" w:hAnsi="Times New Roman" w:cs="Times New Roman"/>
          <w:color w:val="000000" w:themeColor="text1"/>
          <w:sz w:val="24"/>
          <w:szCs w:val="24"/>
        </w:rPr>
        <w:t xml:space="preserve"> while safeguarding the environment</w:t>
      </w:r>
      <w:r w:rsidRPr="00D51BBF">
        <w:rPr>
          <w:rFonts w:ascii="Times New Roman" w:eastAsia="Times New Roman" w:hAnsi="Times New Roman" w:cs="Times New Roman"/>
          <w:color w:val="000000" w:themeColor="text1"/>
          <w:sz w:val="24"/>
          <w:szCs w:val="24"/>
        </w:rPr>
        <w:t xml:space="preserve">. Precise configurations for the allocation of resource rents between state, regional and federal levels would vary and should be determined by the discussion and input of citizens. </w:t>
      </w:r>
    </w:p>
    <w:p w:rsidR="00135467" w:rsidRPr="00D51BBF" w:rsidRDefault="00135467" w:rsidP="00135467">
      <w:pPr>
        <w:pStyle w:val="NormalWeb"/>
        <w:rPr>
          <w:color w:val="000000" w:themeColor="text1"/>
        </w:rPr>
      </w:pPr>
      <w:r w:rsidRPr="00D51BBF">
        <w:rPr>
          <w:iCs/>
          <w:color w:val="000000" w:themeColor="text1"/>
        </w:rPr>
        <w:t>GLOBAL:</w:t>
      </w:r>
      <w:r w:rsidRPr="00D51BBF">
        <w:rPr>
          <w:i/>
          <w:iCs/>
          <w:color w:val="000000" w:themeColor="text1"/>
        </w:rPr>
        <w:t xml:space="preserve"> </w:t>
      </w:r>
      <w:r w:rsidRPr="00D51BBF">
        <w:rPr>
          <w:color w:val="000000" w:themeColor="text1"/>
        </w:rPr>
        <w:t xml:space="preserve">A Global Resource Agency should be established with a mandate to protect and fairly share the global commons. Many of these territories lie beyond the jurisdiction of national governments and include the fish and minerals in the deep seas, the atmosphere/ozone, the North and South poles, the air waves, geo-orbital zones and other uses of outer space. Competition and exploitation of these territories and resources is fast underway. These vast new frontiers promise great wealth and power to those with the technology to stake a claim. Issues concerning their use and ownership must be addressed at the global level, before conflicts over them result in warfare. The resource rents of these common heritage domains should be captured for the benefit of all, not pillaged for private profit. </w:t>
      </w:r>
    </w:p>
    <w:p w:rsidR="00F6386F" w:rsidRPr="00D51BBF" w:rsidRDefault="00135467" w:rsidP="00135467">
      <w:pPr>
        <w:pStyle w:val="NormalWeb"/>
        <w:rPr>
          <w:color w:val="000000" w:themeColor="text1"/>
        </w:rPr>
      </w:pPr>
      <w:r w:rsidRPr="00D51BBF">
        <w:rPr>
          <w:color w:val="000000" w:themeColor="text1"/>
        </w:rPr>
        <w:t>The Global Resource Agency would be responsible for monitoring these global commons, establishing rules and regulations for their use, and levying penalties for their abuse. The G</w:t>
      </w:r>
      <w:r w:rsidR="00ED5F04">
        <w:rPr>
          <w:color w:val="000000" w:themeColor="text1"/>
        </w:rPr>
        <w:t>lobal Resource Agency</w:t>
      </w:r>
      <w:r w:rsidRPr="00D51BBF">
        <w:rPr>
          <w:color w:val="000000" w:themeColor="text1"/>
        </w:rPr>
        <w:t xml:space="preserve"> would carefully calculate the economic rent of these resources and charge and collect user fees. The funds generated from these global resource revenues would be distributed throughout the world based on population, development criteria, and currency purchasing capacity. Revenues collected would also provide funding for global agencies responsible for justice, peacekeeping, fair trade and sustainable development. We propose that the UN Trusteeship Council be repurposed with this task.</w:t>
      </w:r>
    </w:p>
    <w:p w:rsidR="00135467" w:rsidRDefault="00135467" w:rsidP="00135467">
      <w:pPr>
        <w:spacing w:after="0" w:line="240" w:lineRule="auto"/>
        <w:ind w:left="67"/>
        <w:rPr>
          <w:rFonts w:ascii="Times New Roman" w:eastAsia="Times New Roman" w:hAnsi="Times New Roman" w:cs="Times New Roman"/>
          <w:color w:val="000000" w:themeColor="text1"/>
          <w:sz w:val="24"/>
          <w:szCs w:val="24"/>
        </w:rPr>
      </w:pPr>
      <w:r w:rsidRPr="00D51BBF">
        <w:rPr>
          <w:rFonts w:ascii="Times New Roman" w:eastAsia="Times New Roman" w:hAnsi="Times New Roman" w:cs="Times New Roman"/>
          <w:color w:val="000000" w:themeColor="text1"/>
          <w:sz w:val="24"/>
          <w:szCs w:val="24"/>
        </w:rPr>
        <w:t xml:space="preserve">Revenues raised from access fees for the use of global commons could fund sustainable development programs, environmental restoration, peacekeeping activities, or low interest loans for poverty eradication. Funds are also needed on the global level to finance justice institutions such as the World Court and the International Criminal Court and to facilitate policy convergence in areas such as trade, currency exchange, and human rights. </w:t>
      </w:r>
    </w:p>
    <w:p w:rsidR="00ED5F04" w:rsidRPr="00ED5F04" w:rsidRDefault="00ED5F04" w:rsidP="00ED5F04">
      <w:pPr>
        <w:autoSpaceDE w:val="0"/>
        <w:autoSpaceDN w:val="0"/>
        <w:adjustRightInd w:val="0"/>
        <w:spacing w:after="0" w:line="240" w:lineRule="auto"/>
        <w:rPr>
          <w:rFonts w:ascii="Times New Roman" w:hAnsi="Times New Roman" w:cs="Times New Roman"/>
          <w:color w:val="000000"/>
          <w:sz w:val="24"/>
          <w:szCs w:val="24"/>
        </w:rPr>
      </w:pPr>
    </w:p>
    <w:p w:rsidR="00ED5F04" w:rsidRDefault="00ED5F04" w:rsidP="00ED5F04">
      <w:pPr>
        <w:autoSpaceDE w:val="0"/>
        <w:autoSpaceDN w:val="0"/>
        <w:adjustRightInd w:val="0"/>
        <w:spacing w:after="0" w:line="240" w:lineRule="auto"/>
        <w:rPr>
          <w:rFonts w:ascii="Times New Roman" w:hAnsi="Times New Roman" w:cs="Times New Roman"/>
          <w:color w:val="000000"/>
        </w:rPr>
      </w:pPr>
      <w:r w:rsidRPr="00ED5F04">
        <w:rPr>
          <w:rFonts w:ascii="Times New Roman" w:hAnsi="Times New Roman" w:cs="Times New Roman"/>
          <w:color w:val="000000"/>
        </w:rPr>
        <w:t xml:space="preserve">Are there signs of an emerging Global Resource Agency with the necessary legal authority suited to the tasks outlined above? Alas, the nation state system has not yet agreed to arrangements which would permit the United Nations or any other transnational body to operate with independent funding. But the emergence of such an agency is an imperative if we are to create a world that works for everyone. Places to look for components of a Global Resource Agency include the UN Commission on the Limits of the Continental Shelf, the Law of the Seas Treaty, the Moon Treaty and the Committee on Energy and Natural Resources for Development. </w:t>
      </w:r>
    </w:p>
    <w:p w:rsidR="00ED5F04" w:rsidRPr="00ED5F04" w:rsidRDefault="00ED5F04" w:rsidP="00ED5F04">
      <w:pPr>
        <w:autoSpaceDE w:val="0"/>
        <w:autoSpaceDN w:val="0"/>
        <w:adjustRightInd w:val="0"/>
        <w:spacing w:after="0" w:line="240" w:lineRule="auto"/>
        <w:rPr>
          <w:rFonts w:ascii="Times New Roman" w:hAnsi="Times New Roman" w:cs="Times New Roman"/>
          <w:color w:val="000000"/>
        </w:rPr>
      </w:pPr>
    </w:p>
    <w:p w:rsidR="00ED5F04" w:rsidRPr="00D51BBF" w:rsidRDefault="00ED5F04" w:rsidP="00ED5F04">
      <w:pPr>
        <w:spacing w:after="0" w:line="240" w:lineRule="auto"/>
        <w:ind w:left="67"/>
        <w:rPr>
          <w:rFonts w:ascii="Times New Roman" w:eastAsia="Times New Roman" w:hAnsi="Times New Roman" w:cs="Times New Roman"/>
          <w:color w:val="000000" w:themeColor="text1"/>
          <w:sz w:val="24"/>
          <w:szCs w:val="24"/>
        </w:rPr>
      </w:pPr>
      <w:r w:rsidRPr="00ED5F04">
        <w:rPr>
          <w:rFonts w:ascii="Times New Roman" w:hAnsi="Times New Roman" w:cs="Times New Roman"/>
          <w:color w:val="000000"/>
        </w:rPr>
        <w:t>While some national governments, backed by vested interests which are profiting from the current system, might balk at the idea of a Global Resource Agency, many others would find it a welcome institution if it were truly capable of promoting stability and economic equity for their people and for all the people of the earth. The push for its creation may have to come from a unity of these countries plus a powerful network of non-governmental organizations (NGOs), similar to the kind of organizing it took to establish the International Criminal Court in 1998.</w:t>
      </w:r>
    </w:p>
    <w:p w:rsidR="00135467" w:rsidRPr="00D51BBF" w:rsidRDefault="00135467" w:rsidP="00135467">
      <w:pPr>
        <w:spacing w:after="0" w:line="240" w:lineRule="auto"/>
        <w:ind w:left="67"/>
        <w:rPr>
          <w:rFonts w:ascii="Times New Roman" w:eastAsia="Times New Roman" w:hAnsi="Times New Roman" w:cs="Times New Roman"/>
          <w:color w:val="000000" w:themeColor="text1"/>
          <w:sz w:val="24"/>
          <w:szCs w:val="24"/>
        </w:rPr>
      </w:pPr>
    </w:p>
    <w:p w:rsidR="00135467" w:rsidRPr="00D51BBF" w:rsidRDefault="00135467" w:rsidP="00135467">
      <w:pPr>
        <w:spacing w:after="67" w:line="240" w:lineRule="auto"/>
        <w:ind w:left="67"/>
        <w:rPr>
          <w:rFonts w:ascii="Times New Roman" w:eastAsia="Times New Roman" w:hAnsi="Times New Roman" w:cs="Times New Roman"/>
          <w:color w:val="000000" w:themeColor="text1"/>
          <w:sz w:val="24"/>
          <w:szCs w:val="24"/>
        </w:rPr>
      </w:pPr>
      <w:r w:rsidRPr="00D51BBF">
        <w:rPr>
          <w:rFonts w:ascii="Times New Roman" w:eastAsia="Times New Roman" w:hAnsi="Times New Roman" w:cs="Times New Roman"/>
          <w:color w:val="000000" w:themeColor="text1"/>
          <w:sz w:val="24"/>
          <w:szCs w:val="24"/>
        </w:rPr>
        <w:t>While some national governments, backed by vested interests which are profiting from the current system, might balk at the idea of a Global Resource Agency, many others would find it a welcome institution if it were truly capable of promoting stability and economic progress and stability for their people. The push for its creation may have to come from a unity of these countries plus a powerful network of non-governmental organizations, similar to the kind of organizing it took to establish the International Criminal Court in 1998. Currently former Irish president Mary Robinson is calling for the creation of a Global Climate Justice Fund.</w:t>
      </w:r>
      <w:r w:rsidRPr="00D51BBF">
        <w:rPr>
          <w:rStyle w:val="FootnoteReference"/>
          <w:rFonts w:ascii="Times New Roman" w:eastAsia="Times New Roman" w:hAnsi="Times New Roman" w:cs="Times New Roman"/>
          <w:color w:val="000000" w:themeColor="text1"/>
          <w:sz w:val="24"/>
          <w:szCs w:val="24"/>
        </w:rPr>
        <w:footnoteReference w:id="18"/>
      </w:r>
    </w:p>
    <w:p w:rsidR="00135467" w:rsidRPr="00D51BBF" w:rsidRDefault="00135467" w:rsidP="00135467">
      <w:pPr>
        <w:spacing w:after="67" w:line="240" w:lineRule="auto"/>
        <w:ind w:left="67"/>
        <w:rPr>
          <w:rFonts w:ascii="Times New Roman" w:eastAsia="Times New Roman" w:hAnsi="Times New Roman" w:cs="Times New Roman"/>
          <w:color w:val="000000" w:themeColor="text1"/>
          <w:sz w:val="24"/>
          <w:szCs w:val="24"/>
        </w:rPr>
      </w:pPr>
    </w:p>
    <w:p w:rsidR="00135467" w:rsidRPr="00D51BBF" w:rsidRDefault="00F6386F" w:rsidP="00135467">
      <w:pPr>
        <w:spacing w:after="67" w:line="240" w:lineRule="auto"/>
        <w:ind w:left="67"/>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Dividends</w:t>
      </w:r>
      <w:r w:rsidR="00135467" w:rsidRPr="00D51BBF">
        <w:rPr>
          <w:rFonts w:ascii="Times New Roman" w:eastAsia="Times New Roman" w:hAnsi="Times New Roman" w:cs="Times New Roman"/>
          <w:color w:val="000000" w:themeColor="text1"/>
          <w:sz w:val="24"/>
          <w:szCs w:val="24"/>
        </w:rPr>
        <w:t xml:space="preserve"> could be issued at any or all of these levels</w:t>
      </w:r>
      <w:r>
        <w:rPr>
          <w:rFonts w:ascii="Times New Roman" w:eastAsia="Times New Roman" w:hAnsi="Times New Roman" w:cs="Times New Roman"/>
          <w:color w:val="000000" w:themeColor="text1"/>
          <w:sz w:val="24"/>
          <w:szCs w:val="24"/>
        </w:rPr>
        <w:t>, local state/regional, and/or global</w:t>
      </w:r>
      <w:r w:rsidR="00135467" w:rsidRPr="00D51BBF">
        <w:rPr>
          <w:rFonts w:ascii="Times New Roman" w:eastAsia="Times New Roman" w:hAnsi="Times New Roman" w:cs="Times New Roman"/>
          <w:color w:val="000000" w:themeColor="text1"/>
          <w:sz w:val="24"/>
          <w:szCs w:val="24"/>
        </w:rPr>
        <w:t xml:space="preserve">. The exact percentage of the collected resource rent fees to be distributed as dividends or to be allocated for financing public goods and services and/or for environmental restoration should be determined via informed participatory democratic processes. Recent breakthroughs in information technology can greatly facilitate the establishment of commons funds.  Compiling accurate information </w:t>
      </w:r>
      <w:r>
        <w:rPr>
          <w:rFonts w:ascii="Times New Roman" w:eastAsia="Times New Roman" w:hAnsi="Times New Roman" w:cs="Times New Roman"/>
          <w:color w:val="000000" w:themeColor="text1"/>
          <w:sz w:val="24"/>
          <w:szCs w:val="24"/>
        </w:rPr>
        <w:t xml:space="preserve">and making it </w:t>
      </w:r>
      <w:r w:rsidR="00135467" w:rsidRPr="00D51BBF">
        <w:rPr>
          <w:rFonts w:ascii="Times New Roman" w:eastAsia="Times New Roman" w:hAnsi="Times New Roman" w:cs="Times New Roman"/>
          <w:color w:val="000000" w:themeColor="text1"/>
          <w:sz w:val="24"/>
          <w:szCs w:val="24"/>
        </w:rPr>
        <w:t xml:space="preserve">available on websites will require a core of dedicated </w:t>
      </w:r>
      <w:r>
        <w:rPr>
          <w:rFonts w:ascii="Times New Roman" w:eastAsia="Times New Roman" w:hAnsi="Times New Roman" w:cs="Times New Roman"/>
          <w:color w:val="000000" w:themeColor="text1"/>
          <w:sz w:val="24"/>
          <w:szCs w:val="24"/>
        </w:rPr>
        <w:t>people</w:t>
      </w:r>
      <w:r w:rsidR="00135467" w:rsidRPr="00D51BB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from around the world</w:t>
      </w:r>
      <w:r w:rsidR="00135467" w:rsidRPr="00D51BBF">
        <w:rPr>
          <w:rFonts w:ascii="Times New Roman" w:eastAsia="Times New Roman" w:hAnsi="Times New Roman" w:cs="Times New Roman"/>
          <w:color w:val="000000" w:themeColor="text1"/>
          <w:sz w:val="24"/>
          <w:szCs w:val="24"/>
        </w:rPr>
        <w:t>. They will be inspired by knowing t</w:t>
      </w:r>
      <w:r>
        <w:rPr>
          <w:rFonts w:ascii="Times New Roman" w:eastAsia="Times New Roman" w:hAnsi="Times New Roman" w:cs="Times New Roman"/>
          <w:color w:val="000000" w:themeColor="text1"/>
          <w:sz w:val="24"/>
          <w:szCs w:val="24"/>
        </w:rPr>
        <w:t xml:space="preserve">hat their work is to secure </w:t>
      </w:r>
      <w:r w:rsidR="00135467" w:rsidRPr="00D51BBF">
        <w:rPr>
          <w:rFonts w:ascii="Times New Roman" w:eastAsia="Times New Roman" w:hAnsi="Times New Roman" w:cs="Times New Roman"/>
          <w:color w:val="000000" w:themeColor="text1"/>
          <w:sz w:val="24"/>
          <w:szCs w:val="24"/>
        </w:rPr>
        <w:t>the birthright to the earth for each and every person.</w:t>
      </w:r>
    </w:p>
    <w:p w:rsidR="002D7C83" w:rsidRPr="00D51BBF" w:rsidRDefault="002D7C83" w:rsidP="00135467">
      <w:pPr>
        <w:spacing w:after="67" w:line="240" w:lineRule="auto"/>
        <w:ind w:left="67"/>
        <w:rPr>
          <w:rFonts w:ascii="Times New Roman" w:eastAsia="Times New Roman" w:hAnsi="Times New Roman" w:cs="Times New Roman"/>
          <w:color w:val="000000" w:themeColor="text1"/>
          <w:sz w:val="24"/>
          <w:szCs w:val="24"/>
        </w:rPr>
      </w:pPr>
      <w:r w:rsidRPr="00D51BBF">
        <w:rPr>
          <w:rFonts w:ascii="Times New Roman" w:eastAsia="Times New Roman" w:hAnsi="Times New Roman" w:cs="Times New Roman"/>
          <w:color w:val="000000" w:themeColor="text1"/>
          <w:sz w:val="24"/>
          <w:szCs w:val="24"/>
        </w:rPr>
        <w:t xml:space="preserve">In summary, responding to the question of whether or not the Alaska model can be applied on a worldwide basis, the viewpoint of this paper is yes, but with these </w:t>
      </w:r>
      <w:r w:rsidR="00DE0039" w:rsidRPr="00D51BBF">
        <w:rPr>
          <w:rFonts w:ascii="Times New Roman" w:eastAsia="Times New Roman" w:hAnsi="Times New Roman" w:cs="Times New Roman"/>
          <w:color w:val="000000" w:themeColor="text1"/>
          <w:sz w:val="24"/>
          <w:szCs w:val="24"/>
        </w:rPr>
        <w:t>several key</w:t>
      </w:r>
      <w:r w:rsidRPr="00D51BBF">
        <w:rPr>
          <w:rFonts w:ascii="Times New Roman" w:eastAsia="Times New Roman" w:hAnsi="Times New Roman" w:cs="Times New Roman"/>
          <w:color w:val="000000" w:themeColor="text1"/>
          <w:sz w:val="24"/>
          <w:szCs w:val="24"/>
        </w:rPr>
        <w:t xml:space="preserve"> modifications:</w:t>
      </w:r>
    </w:p>
    <w:p w:rsidR="00493BB8" w:rsidRPr="00D51BBF" w:rsidRDefault="00493BB8" w:rsidP="00135467">
      <w:pPr>
        <w:spacing w:after="67" w:line="240" w:lineRule="auto"/>
        <w:ind w:left="67"/>
        <w:rPr>
          <w:rFonts w:ascii="Times New Roman" w:eastAsia="Times New Roman" w:hAnsi="Times New Roman" w:cs="Times New Roman"/>
          <w:color w:val="000000" w:themeColor="text1"/>
          <w:sz w:val="24"/>
          <w:szCs w:val="24"/>
        </w:rPr>
      </w:pPr>
    </w:p>
    <w:p w:rsidR="00493BB8" w:rsidRPr="00D51BBF" w:rsidRDefault="005A0ACD" w:rsidP="00DE0039">
      <w:pPr>
        <w:pStyle w:val="ListParagraph"/>
        <w:numPr>
          <w:ilvl w:val="0"/>
          <w:numId w:val="4"/>
        </w:numPr>
        <w:spacing w:after="67" w:line="240" w:lineRule="auto"/>
        <w:rPr>
          <w:rFonts w:ascii="Times New Roman" w:eastAsia="Times New Roman" w:hAnsi="Times New Roman" w:cs="Times New Roman"/>
          <w:color w:val="000000" w:themeColor="text1"/>
          <w:sz w:val="24"/>
          <w:szCs w:val="24"/>
        </w:rPr>
      </w:pPr>
      <w:r w:rsidRPr="00D51BBF">
        <w:rPr>
          <w:rFonts w:ascii="Times New Roman" w:eastAsia="Times New Roman" w:hAnsi="Times New Roman" w:cs="Times New Roman"/>
          <w:color w:val="000000" w:themeColor="text1"/>
          <w:sz w:val="24"/>
          <w:szCs w:val="24"/>
        </w:rPr>
        <w:t>Fund investment criteria should be e</w:t>
      </w:r>
      <w:r w:rsidR="00D2469A" w:rsidRPr="00D51BBF">
        <w:rPr>
          <w:rFonts w:ascii="Times New Roman" w:eastAsia="Times New Roman" w:hAnsi="Times New Roman" w:cs="Times New Roman"/>
          <w:color w:val="000000" w:themeColor="text1"/>
          <w:sz w:val="24"/>
          <w:szCs w:val="24"/>
        </w:rPr>
        <w:t>xpand</w:t>
      </w:r>
      <w:r w:rsidR="00F6386F">
        <w:rPr>
          <w:rFonts w:ascii="Times New Roman" w:eastAsia="Times New Roman" w:hAnsi="Times New Roman" w:cs="Times New Roman"/>
          <w:color w:val="000000" w:themeColor="text1"/>
          <w:sz w:val="24"/>
          <w:szCs w:val="24"/>
        </w:rPr>
        <w:t xml:space="preserve">ed beyond the prudent investor </w:t>
      </w:r>
      <w:r w:rsidR="00D2469A" w:rsidRPr="00D51BBF">
        <w:rPr>
          <w:rFonts w:ascii="Times New Roman" w:eastAsia="Times New Roman" w:hAnsi="Times New Roman" w:cs="Times New Roman"/>
          <w:color w:val="000000" w:themeColor="text1"/>
          <w:sz w:val="24"/>
          <w:szCs w:val="24"/>
        </w:rPr>
        <w:t>r</w:t>
      </w:r>
      <w:r w:rsidRPr="00D51BBF">
        <w:rPr>
          <w:rFonts w:ascii="Times New Roman" w:eastAsia="Times New Roman" w:hAnsi="Times New Roman" w:cs="Times New Roman"/>
          <w:color w:val="000000" w:themeColor="text1"/>
          <w:sz w:val="24"/>
          <w:szCs w:val="24"/>
        </w:rPr>
        <w:t>ule to include socially and environmentally respon</w:t>
      </w:r>
      <w:r w:rsidR="00D33F6E" w:rsidRPr="00D51BBF">
        <w:rPr>
          <w:rFonts w:ascii="Times New Roman" w:eastAsia="Times New Roman" w:hAnsi="Times New Roman" w:cs="Times New Roman"/>
          <w:color w:val="000000" w:themeColor="text1"/>
          <w:sz w:val="24"/>
          <w:szCs w:val="24"/>
        </w:rPr>
        <w:t>sible</w:t>
      </w:r>
      <w:r w:rsidRPr="00D51BBF">
        <w:rPr>
          <w:rFonts w:ascii="Times New Roman" w:eastAsia="Times New Roman" w:hAnsi="Times New Roman" w:cs="Times New Roman"/>
          <w:color w:val="000000" w:themeColor="text1"/>
          <w:sz w:val="24"/>
          <w:szCs w:val="24"/>
        </w:rPr>
        <w:t xml:space="preserve"> investments.</w:t>
      </w:r>
    </w:p>
    <w:p w:rsidR="00D33F6E" w:rsidRPr="00D51BBF" w:rsidRDefault="00D33F6E" w:rsidP="00135467">
      <w:pPr>
        <w:spacing w:after="67" w:line="240" w:lineRule="auto"/>
        <w:ind w:left="67"/>
        <w:rPr>
          <w:rFonts w:ascii="Times New Roman" w:eastAsia="Times New Roman" w:hAnsi="Times New Roman" w:cs="Times New Roman"/>
          <w:color w:val="000000" w:themeColor="text1"/>
          <w:sz w:val="24"/>
          <w:szCs w:val="24"/>
        </w:rPr>
      </w:pPr>
    </w:p>
    <w:p w:rsidR="00D33F6E" w:rsidRPr="00D51BBF" w:rsidRDefault="00D33F6E" w:rsidP="00DE0039">
      <w:pPr>
        <w:pStyle w:val="ListParagraph"/>
        <w:numPr>
          <w:ilvl w:val="0"/>
          <w:numId w:val="4"/>
        </w:numPr>
        <w:spacing w:after="67" w:line="240" w:lineRule="auto"/>
        <w:rPr>
          <w:rFonts w:ascii="Times New Roman" w:eastAsia="Times New Roman" w:hAnsi="Times New Roman" w:cs="Times New Roman"/>
          <w:color w:val="000000" w:themeColor="text1"/>
          <w:sz w:val="24"/>
          <w:szCs w:val="24"/>
        </w:rPr>
      </w:pPr>
      <w:r w:rsidRPr="00D51BBF">
        <w:rPr>
          <w:rFonts w:ascii="Times New Roman" w:eastAsia="Times New Roman" w:hAnsi="Times New Roman" w:cs="Times New Roman"/>
          <w:color w:val="000000" w:themeColor="text1"/>
          <w:sz w:val="24"/>
          <w:szCs w:val="24"/>
        </w:rPr>
        <w:t xml:space="preserve">Extractive resource rent based dividend funds should be established as one component </w:t>
      </w:r>
      <w:r w:rsidR="00DE0039" w:rsidRPr="00D51BBF">
        <w:rPr>
          <w:rFonts w:ascii="Times New Roman" w:eastAsia="Times New Roman" w:hAnsi="Times New Roman" w:cs="Times New Roman"/>
          <w:color w:val="000000" w:themeColor="text1"/>
          <w:sz w:val="24"/>
          <w:szCs w:val="24"/>
        </w:rPr>
        <w:t>within</w:t>
      </w:r>
      <w:r w:rsidRPr="00D51BBF">
        <w:rPr>
          <w:rFonts w:ascii="Times New Roman" w:eastAsia="Times New Roman" w:hAnsi="Times New Roman" w:cs="Times New Roman"/>
          <w:color w:val="000000" w:themeColor="text1"/>
          <w:sz w:val="24"/>
          <w:szCs w:val="24"/>
        </w:rPr>
        <w:t xml:space="preserve"> a holistic, integrated green tax shift approach to public finance policy</w:t>
      </w:r>
      <w:r w:rsidR="00642959">
        <w:rPr>
          <w:rFonts w:ascii="Times New Roman" w:eastAsia="Times New Roman" w:hAnsi="Times New Roman" w:cs="Times New Roman"/>
          <w:color w:val="000000" w:themeColor="text1"/>
          <w:sz w:val="24"/>
          <w:szCs w:val="24"/>
        </w:rPr>
        <w:t>.</w:t>
      </w:r>
      <w:r w:rsidRPr="00D51BBF">
        <w:rPr>
          <w:rFonts w:ascii="Times New Roman" w:eastAsia="Times New Roman" w:hAnsi="Times New Roman" w:cs="Times New Roman"/>
          <w:color w:val="000000" w:themeColor="text1"/>
          <w:sz w:val="24"/>
          <w:szCs w:val="24"/>
        </w:rPr>
        <w:t xml:space="preserve"> </w:t>
      </w:r>
    </w:p>
    <w:p w:rsidR="00DE0039" w:rsidRPr="00D51BBF" w:rsidRDefault="00DE0039" w:rsidP="00135467">
      <w:pPr>
        <w:spacing w:after="67" w:line="240" w:lineRule="auto"/>
        <w:ind w:left="67"/>
        <w:rPr>
          <w:rFonts w:ascii="Times New Roman" w:eastAsia="Times New Roman" w:hAnsi="Times New Roman" w:cs="Times New Roman"/>
          <w:color w:val="000000" w:themeColor="text1"/>
          <w:sz w:val="24"/>
          <w:szCs w:val="24"/>
        </w:rPr>
      </w:pPr>
    </w:p>
    <w:p w:rsidR="005A0ACD" w:rsidRPr="00642959" w:rsidRDefault="00DE0039" w:rsidP="00642959">
      <w:pPr>
        <w:pStyle w:val="ListParagraph"/>
        <w:numPr>
          <w:ilvl w:val="0"/>
          <w:numId w:val="4"/>
        </w:numPr>
        <w:spacing w:after="67" w:line="240" w:lineRule="auto"/>
        <w:rPr>
          <w:rFonts w:ascii="Times New Roman" w:eastAsia="Times New Roman" w:hAnsi="Times New Roman" w:cs="Times New Roman"/>
          <w:color w:val="000000" w:themeColor="text1"/>
          <w:sz w:val="24"/>
          <w:szCs w:val="24"/>
        </w:rPr>
      </w:pPr>
      <w:r w:rsidRPr="00D51BBF">
        <w:rPr>
          <w:rFonts w:ascii="Times New Roman" w:eastAsia="Times New Roman" w:hAnsi="Times New Roman" w:cs="Times New Roman"/>
          <w:color w:val="000000" w:themeColor="text1"/>
          <w:sz w:val="24"/>
          <w:szCs w:val="24"/>
        </w:rPr>
        <w:t xml:space="preserve">As economic development proceeds and surface land increases in value, dividends should be drawn increasingly from this source via land value capture/taxation policies </w:t>
      </w:r>
      <w:r w:rsidR="00642959">
        <w:rPr>
          <w:rFonts w:ascii="Times New Roman" w:eastAsia="Times New Roman" w:hAnsi="Times New Roman" w:cs="Times New Roman"/>
          <w:color w:val="000000" w:themeColor="text1"/>
          <w:sz w:val="24"/>
          <w:szCs w:val="24"/>
        </w:rPr>
        <w:t>while a substantial percentage of</w:t>
      </w:r>
      <w:r w:rsidRPr="00D51BBF">
        <w:rPr>
          <w:rFonts w:ascii="Times New Roman" w:eastAsia="Times New Roman" w:hAnsi="Times New Roman" w:cs="Times New Roman"/>
          <w:color w:val="000000" w:themeColor="text1"/>
          <w:sz w:val="24"/>
          <w:szCs w:val="24"/>
        </w:rPr>
        <w:t xml:space="preserve"> extractive resource rents should fund the development of renewable energy technology.</w:t>
      </w:r>
    </w:p>
    <w:sectPr w:rsidR="005A0ACD" w:rsidRPr="00642959" w:rsidSect="00E44D91">
      <w:headerReference w:type="default" r:id="rId10"/>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D62" w:rsidRDefault="00F23D62" w:rsidP="00135467">
      <w:pPr>
        <w:spacing w:after="0" w:line="240" w:lineRule="auto"/>
      </w:pPr>
      <w:r>
        <w:separator/>
      </w:r>
    </w:p>
  </w:endnote>
  <w:endnote w:type="continuationSeparator" w:id="0">
    <w:p w:rsidR="00F23D62" w:rsidRDefault="00F23D62" w:rsidP="00135467">
      <w:pPr>
        <w:spacing w:after="0" w:line="240" w:lineRule="auto"/>
      </w:pPr>
      <w:r>
        <w:continuationSeparator/>
      </w:r>
    </w:p>
  </w:endnote>
  <w:endnote w:id="1">
    <w:p w:rsidR="00EF79C0" w:rsidRPr="00642959" w:rsidRDefault="00EF79C0" w:rsidP="00642959">
      <w:pPr>
        <w:pStyle w:val="EndnoteText"/>
      </w:pP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Formata-Regular">
    <w:altName w:val="Times New Roman"/>
    <w:panose1 w:val="00000000000000000000"/>
    <w:charset w:val="00"/>
    <w:family w:val="swiss"/>
    <w:notTrueType/>
    <w:pitch w:val="default"/>
    <w:sig w:usb0="00000003" w:usb1="00000000" w:usb2="00000000" w:usb3="00000000" w:csb0="00000001" w:csb1="00000000"/>
  </w:font>
  <w:font w:name="StoneSansStd-Bold">
    <w:panose1 w:val="00000000000000000000"/>
    <w:charset w:val="00"/>
    <w:family w:val="swiss"/>
    <w:notTrueType/>
    <w:pitch w:val="default"/>
    <w:sig w:usb0="00000003" w:usb1="00000000" w:usb2="00000000" w:usb3="00000000" w:csb0="00000001" w:csb1="00000000"/>
  </w:font>
  <w:font w:name="TrumpMediaevalLTStd-Roman">
    <w:panose1 w:val="00000000000000000000"/>
    <w:charset w:val="00"/>
    <w:family w:val="roman"/>
    <w:notTrueType/>
    <w:pitch w:val="default"/>
    <w:sig w:usb0="00000003" w:usb1="00000000" w:usb2="00000000" w:usb3="00000000" w:csb0="00000001" w:csb1="00000000"/>
  </w:font>
  <w:font w:name="TrumpMediaevalLTStd-Italic">
    <w:panose1 w:val="00000000000000000000"/>
    <w:charset w:val="00"/>
    <w:family w:val="roman"/>
    <w:notTrueType/>
    <w:pitch w:val="default"/>
    <w:sig w:usb0="00000003" w:usb1="00000000" w:usb2="00000000" w:usb3="00000000" w:csb0="00000001" w:csb1="00000000"/>
  </w:font>
  <w:font w:name="StoneSansStd-Medium">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D62" w:rsidRDefault="00F23D62" w:rsidP="00135467">
      <w:pPr>
        <w:spacing w:after="0" w:line="240" w:lineRule="auto"/>
      </w:pPr>
      <w:r>
        <w:separator/>
      </w:r>
    </w:p>
  </w:footnote>
  <w:footnote w:type="continuationSeparator" w:id="0">
    <w:p w:rsidR="00F23D62" w:rsidRDefault="00F23D62" w:rsidP="00135467">
      <w:pPr>
        <w:spacing w:after="0" w:line="240" w:lineRule="auto"/>
      </w:pPr>
      <w:r>
        <w:continuationSeparator/>
      </w:r>
    </w:p>
  </w:footnote>
  <w:footnote w:id="1">
    <w:p w:rsidR="00C0789E" w:rsidRDefault="00C0789E" w:rsidP="009F2985">
      <w:pPr>
        <w:pStyle w:val="FootnoteText"/>
      </w:pPr>
      <w:r>
        <w:rPr>
          <w:rStyle w:val="FootnoteReference"/>
        </w:rPr>
        <w:footnoteRef/>
      </w:r>
      <w:r>
        <w:t xml:space="preserve"> “Resource Rent” defines surplus profits, or earnings beyond the cost of labor and capital.</w:t>
      </w:r>
    </w:p>
  </w:footnote>
  <w:footnote w:id="2">
    <w:p w:rsidR="00C0789E" w:rsidRDefault="00C0789E">
      <w:pPr>
        <w:pStyle w:val="FootnoteText"/>
      </w:pPr>
      <w:r>
        <w:rPr>
          <w:rStyle w:val="FootnoteReference"/>
        </w:rPr>
        <w:footnoteRef/>
      </w:r>
      <w:r>
        <w:t xml:space="preserve"> A</w:t>
      </w:r>
      <w:r w:rsidR="00EF79C0">
        <w:t xml:space="preserve">laska </w:t>
      </w:r>
      <w:r>
        <w:t>P</w:t>
      </w:r>
      <w:r w:rsidR="00EF79C0">
        <w:t xml:space="preserve">ermanent </w:t>
      </w:r>
      <w:r>
        <w:t>F</w:t>
      </w:r>
      <w:r w:rsidR="00EF79C0">
        <w:t>und</w:t>
      </w:r>
      <w:r>
        <w:t xml:space="preserve"> website: apfc.org</w:t>
      </w:r>
    </w:p>
  </w:footnote>
  <w:footnote w:id="3">
    <w:p w:rsidR="00C0789E" w:rsidRPr="00CC055A" w:rsidRDefault="00C0789E" w:rsidP="00CC055A">
      <w:pPr>
        <w:autoSpaceDE w:val="0"/>
        <w:autoSpaceDN w:val="0"/>
        <w:adjustRightInd w:val="0"/>
        <w:spacing w:after="0" w:line="240" w:lineRule="auto"/>
        <w:rPr>
          <w:rFonts w:ascii="Formata-Regular" w:hAnsi="Formata-Regular" w:cs="Formata-Regular"/>
          <w:sz w:val="20"/>
          <w:szCs w:val="20"/>
        </w:rPr>
      </w:pPr>
      <w:r>
        <w:rPr>
          <w:rStyle w:val="FootnoteReference"/>
        </w:rPr>
        <w:footnoteRef/>
      </w:r>
      <w:r>
        <w:t xml:space="preserve"> </w:t>
      </w:r>
      <w:r w:rsidRPr="00C95C7D">
        <w:rPr>
          <w:rFonts w:ascii="Times New Roman" w:hAnsi="Times New Roman" w:cs="Times New Roman"/>
          <w:sz w:val="18"/>
          <w:szCs w:val="18"/>
        </w:rPr>
        <w:t xml:space="preserve">Deborah Brautigam, </w:t>
      </w:r>
      <w:r w:rsidR="00EF79C0">
        <w:rPr>
          <w:rFonts w:ascii="Times New Roman" w:hAnsi="Times New Roman" w:cs="Times New Roman"/>
          <w:sz w:val="18"/>
          <w:szCs w:val="18"/>
        </w:rPr>
        <w:t>“</w:t>
      </w:r>
      <w:r w:rsidRPr="00C95C7D">
        <w:rPr>
          <w:rFonts w:ascii="Times New Roman" w:hAnsi="Times New Roman" w:cs="Times New Roman"/>
          <w:sz w:val="18"/>
          <w:szCs w:val="18"/>
        </w:rPr>
        <w:t>The People’s Budget? Politics, Participation and Pro-poor Policy</w:t>
      </w:r>
      <w:r w:rsidR="00EF79C0">
        <w:rPr>
          <w:rFonts w:ascii="Times New Roman" w:hAnsi="Times New Roman" w:cs="Times New Roman"/>
          <w:sz w:val="18"/>
          <w:szCs w:val="18"/>
        </w:rPr>
        <w:t>”</w:t>
      </w:r>
      <w:r w:rsidRPr="00C95C7D">
        <w:rPr>
          <w:rFonts w:ascii="Times New Roman" w:hAnsi="Times New Roman" w:cs="Times New Roman"/>
          <w:sz w:val="18"/>
          <w:szCs w:val="18"/>
        </w:rPr>
        <w:t xml:space="preserve">, </w:t>
      </w:r>
      <w:r w:rsidRPr="00C95C7D">
        <w:rPr>
          <w:rFonts w:ascii="Times New Roman" w:hAnsi="Times New Roman" w:cs="Times New Roman"/>
          <w:i/>
          <w:iCs/>
          <w:sz w:val="18"/>
          <w:szCs w:val="18"/>
        </w:rPr>
        <w:t>Development Policy Review</w:t>
      </w:r>
      <w:r w:rsidRPr="00C95C7D">
        <w:rPr>
          <w:rFonts w:ascii="Times New Roman" w:hAnsi="Times New Roman" w:cs="Times New Roman"/>
          <w:sz w:val="18"/>
          <w:szCs w:val="18"/>
        </w:rPr>
        <w:t>, Overseas Development Institute 2004, Published by Blackwell Publishing, Oxford OX4 2DQ, UK and 350 Main Street, Malden, MA 02148, USA. http://www.unicef.org/socialpolicy/files/The_peoples_budget.pdf</w:t>
      </w:r>
    </w:p>
    <w:p w:rsidR="00C0789E" w:rsidRDefault="00C0789E" w:rsidP="00CC055A">
      <w:pPr>
        <w:pStyle w:val="FootnoteText"/>
      </w:pPr>
    </w:p>
  </w:footnote>
  <w:footnote w:id="4">
    <w:p w:rsidR="00C0789E" w:rsidRDefault="00C0789E">
      <w:pPr>
        <w:pStyle w:val="FootnoteText"/>
      </w:pPr>
      <w:r>
        <w:rPr>
          <w:rStyle w:val="FootnoteReference"/>
        </w:rPr>
        <w:footnoteRef/>
      </w:r>
      <w:r>
        <w:t xml:space="preserve"> </w:t>
      </w:r>
      <w:r w:rsidRPr="00C95C7D">
        <w:rPr>
          <w:rFonts w:ascii="Times New Roman" w:hAnsi="Times New Roman" w:cs="Times New Roman"/>
          <w:sz w:val="18"/>
          <w:szCs w:val="18"/>
        </w:rPr>
        <w:t xml:space="preserve">For one such excellent report see: </w:t>
      </w:r>
      <w:r w:rsidR="00EF79C0">
        <w:rPr>
          <w:rFonts w:ascii="Times New Roman" w:hAnsi="Times New Roman" w:cs="Times New Roman"/>
          <w:sz w:val="18"/>
          <w:szCs w:val="18"/>
        </w:rPr>
        <w:t>“</w:t>
      </w:r>
      <w:r w:rsidRPr="00C95C7D">
        <w:rPr>
          <w:rFonts w:ascii="Times New Roman" w:hAnsi="Times New Roman" w:cs="Times New Roman"/>
          <w:sz w:val="18"/>
          <w:szCs w:val="18"/>
        </w:rPr>
        <w:t>Experiences with Oil Funds: Institutional and Financial Aspects, Energy Secto</w:t>
      </w:r>
      <w:r w:rsidR="00EF79C0">
        <w:rPr>
          <w:rFonts w:ascii="Times New Roman" w:hAnsi="Times New Roman" w:cs="Times New Roman"/>
          <w:sz w:val="18"/>
          <w:szCs w:val="18"/>
        </w:rPr>
        <w:t>r Management Assistance Program.”</w:t>
      </w:r>
      <w:r w:rsidRPr="00C95C7D">
        <w:rPr>
          <w:rFonts w:ascii="Times New Roman" w:hAnsi="Times New Roman" w:cs="Times New Roman"/>
          <w:sz w:val="18"/>
          <w:szCs w:val="18"/>
        </w:rPr>
        <w:t xml:space="preserve"> World Bank Group, Report 321, June 2006.</w:t>
      </w:r>
    </w:p>
  </w:footnote>
  <w:footnote w:id="5">
    <w:p w:rsidR="00C0789E" w:rsidRPr="00C95C7D" w:rsidRDefault="00C0789E" w:rsidP="00C95C7D">
      <w:pPr>
        <w:spacing w:before="100" w:beforeAutospacing="1" w:after="100" w:afterAutospacing="1" w:line="240" w:lineRule="auto"/>
        <w:rPr>
          <w:rFonts w:ascii="Times New Roman" w:eastAsia="Times New Roman" w:hAnsi="Times New Roman" w:cs="Times New Roman"/>
          <w:sz w:val="18"/>
          <w:szCs w:val="18"/>
        </w:rPr>
      </w:pPr>
      <w:r>
        <w:rPr>
          <w:rStyle w:val="FootnoteReference"/>
        </w:rPr>
        <w:footnoteRef/>
      </w:r>
      <w:r>
        <w:t xml:space="preserve"> </w:t>
      </w:r>
      <w:r w:rsidRPr="00FF11EA">
        <w:rPr>
          <w:rFonts w:ascii="Times New Roman" w:eastAsia="Times New Roman" w:hAnsi="Times New Roman" w:cs="Times New Roman"/>
          <w:sz w:val="18"/>
          <w:szCs w:val="18"/>
        </w:rPr>
        <w:t>Alanna Hartzok,</w:t>
      </w:r>
      <w:r w:rsidRPr="00FF11EA">
        <w:rPr>
          <w:rFonts w:ascii="Times New Roman" w:eastAsia="Times New Roman" w:hAnsi="Times New Roman" w:cs="Times New Roman"/>
          <w:bCs/>
          <w:sz w:val="18"/>
          <w:szCs w:val="18"/>
        </w:rPr>
        <w:t xml:space="preserve"> </w:t>
      </w:r>
      <w:r w:rsidR="00EF79C0">
        <w:rPr>
          <w:rFonts w:ascii="Times New Roman" w:eastAsia="Times New Roman" w:hAnsi="Times New Roman" w:cs="Times New Roman"/>
          <w:bCs/>
          <w:sz w:val="18"/>
          <w:szCs w:val="18"/>
        </w:rPr>
        <w:t>“</w:t>
      </w:r>
      <w:r w:rsidRPr="00792F5C">
        <w:rPr>
          <w:rFonts w:ascii="Times New Roman" w:eastAsia="Times New Roman" w:hAnsi="Times New Roman" w:cs="Times New Roman"/>
          <w:bCs/>
          <w:sz w:val="18"/>
          <w:szCs w:val="18"/>
        </w:rPr>
        <w:t>Financing Local to Global Public Goods: An Integrated Green Tax Shift Perspective</w:t>
      </w:r>
      <w:r w:rsidR="00EF79C0">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p</w:t>
      </w:r>
      <w:r w:rsidRPr="00792F5C">
        <w:rPr>
          <w:rFonts w:ascii="Times New Roman" w:eastAsia="Times New Roman" w:hAnsi="Times New Roman" w:cs="Times New Roman"/>
          <w:sz w:val="18"/>
          <w:szCs w:val="18"/>
        </w:rPr>
        <w:t xml:space="preserve">resented at the Global Institute for Taxation Conference on Fundamental Tax Reform sponsored by Price Waterhouse Coopers and St. John's University, New York, September 30, 1999 and published in </w:t>
      </w:r>
      <w:r w:rsidRPr="00EF79C0">
        <w:rPr>
          <w:rFonts w:ascii="Times New Roman" w:eastAsia="Times New Roman" w:hAnsi="Times New Roman" w:cs="Times New Roman"/>
          <w:i/>
          <w:sz w:val="18"/>
          <w:szCs w:val="18"/>
        </w:rPr>
        <w:t>Taxation Alternatives for the 21st Century: Proceedings of the 1999 Conference</w:t>
      </w:r>
      <w:r>
        <w:rPr>
          <w:rFonts w:ascii="Times New Roman" w:eastAsia="Times New Roman" w:hAnsi="Times New Roman" w:cs="Times New Roman"/>
          <w:sz w:val="18"/>
          <w:szCs w:val="18"/>
        </w:rPr>
        <w:t>.</w:t>
      </w:r>
    </w:p>
  </w:footnote>
  <w:footnote w:id="6">
    <w:p w:rsidR="00C0789E" w:rsidRPr="00B9666B" w:rsidRDefault="00C0789E" w:rsidP="00135467">
      <w:pPr>
        <w:autoSpaceDE w:val="0"/>
        <w:autoSpaceDN w:val="0"/>
        <w:adjustRightInd w:val="0"/>
        <w:spacing w:after="0" w:line="240" w:lineRule="auto"/>
        <w:rPr>
          <w:rFonts w:cs="StoneSansStd-Bold"/>
          <w:b/>
          <w:bCs/>
          <w:sz w:val="18"/>
          <w:szCs w:val="18"/>
        </w:rPr>
      </w:pPr>
      <w:r w:rsidRPr="00B9666B">
        <w:rPr>
          <w:rStyle w:val="FootnoteReference"/>
          <w:sz w:val="18"/>
          <w:szCs w:val="18"/>
        </w:rPr>
        <w:footnoteRef/>
      </w:r>
      <w:r w:rsidRPr="00B9666B">
        <w:rPr>
          <w:sz w:val="18"/>
          <w:szCs w:val="18"/>
        </w:rPr>
        <w:t xml:space="preserve"> S</w:t>
      </w:r>
      <w:r w:rsidR="00EF79C0">
        <w:rPr>
          <w:sz w:val="18"/>
          <w:szCs w:val="18"/>
        </w:rPr>
        <w:t>ee “Green Tax Shift for Vermont.</w:t>
      </w:r>
      <w:r w:rsidRPr="00B9666B">
        <w:rPr>
          <w:sz w:val="18"/>
          <w:szCs w:val="18"/>
        </w:rPr>
        <w:t xml:space="preserve">” </w:t>
      </w:r>
      <w:r w:rsidRPr="00EF79C0">
        <w:rPr>
          <w:rFonts w:cs="Times New Roman"/>
          <w:i/>
          <w:color w:val="000000" w:themeColor="text1"/>
          <w:sz w:val="18"/>
          <w:szCs w:val="18"/>
        </w:rPr>
        <w:t xml:space="preserve">The Vermont Green Tax and Common Assets Project </w:t>
      </w:r>
      <w:r w:rsidRPr="00B9666B">
        <w:rPr>
          <w:rFonts w:cs="Times New Roman"/>
          <w:color w:val="000000" w:themeColor="text1"/>
          <w:sz w:val="18"/>
          <w:szCs w:val="18"/>
        </w:rPr>
        <w:t xml:space="preserve">, </w:t>
      </w:r>
      <w:r w:rsidRPr="00B9666B">
        <w:rPr>
          <w:rFonts w:cs="StoneSansStd-Bold"/>
          <w:bCs/>
          <w:sz w:val="18"/>
          <w:szCs w:val="18"/>
        </w:rPr>
        <w:t>prepared by</w:t>
      </w:r>
      <w:r w:rsidRPr="00B9666B">
        <w:rPr>
          <w:rFonts w:cs="StoneSansStd-Bold"/>
          <w:b/>
          <w:bCs/>
          <w:sz w:val="18"/>
          <w:szCs w:val="18"/>
        </w:rPr>
        <w:t xml:space="preserve"> </w:t>
      </w:r>
      <w:r w:rsidRPr="00B9666B">
        <w:rPr>
          <w:rFonts w:cs="TrumpMediaevalLTStd-Roman"/>
          <w:sz w:val="18"/>
          <w:szCs w:val="18"/>
        </w:rPr>
        <w:t xml:space="preserve">Gary Flomenhoft, </w:t>
      </w:r>
      <w:r w:rsidRPr="00B9666B">
        <w:rPr>
          <w:rFonts w:cs="TrumpMediaevalLTStd-Italic"/>
          <w:iCs/>
          <w:sz w:val="18"/>
          <w:szCs w:val="18"/>
        </w:rPr>
        <w:t>Research Associate/Lecturer, Community Development</w:t>
      </w:r>
      <w:r w:rsidRPr="00B9666B">
        <w:rPr>
          <w:rFonts w:cs="StoneSansStd-Bold"/>
          <w:b/>
          <w:bCs/>
          <w:sz w:val="18"/>
          <w:szCs w:val="18"/>
        </w:rPr>
        <w:t xml:space="preserve"> </w:t>
      </w:r>
      <w:r w:rsidRPr="00B9666B">
        <w:rPr>
          <w:rFonts w:cs="TrumpMediaevalLTStd-Italic"/>
          <w:iCs/>
          <w:sz w:val="18"/>
          <w:szCs w:val="18"/>
        </w:rPr>
        <w:t>and Applied Economics/MPA Program and Gund Institute,</w:t>
      </w:r>
      <w:r w:rsidRPr="00B9666B">
        <w:rPr>
          <w:rFonts w:cs="StoneSansStd-Bold"/>
          <w:b/>
          <w:bCs/>
          <w:sz w:val="18"/>
          <w:szCs w:val="18"/>
        </w:rPr>
        <w:t xml:space="preserve"> </w:t>
      </w:r>
      <w:r w:rsidRPr="00B9666B">
        <w:rPr>
          <w:rFonts w:cs="TrumpMediaevalLTStd-Italic"/>
          <w:iCs/>
          <w:sz w:val="18"/>
          <w:szCs w:val="18"/>
        </w:rPr>
        <w:t>University of Vermont, 2009</w:t>
      </w:r>
      <w:r w:rsidRPr="00B9666B">
        <w:rPr>
          <w:rFonts w:cs="TrumpMediaevalLTStd-Italic"/>
          <w:i/>
          <w:iCs/>
          <w:sz w:val="18"/>
          <w:szCs w:val="18"/>
        </w:rPr>
        <w:t>.</w:t>
      </w:r>
      <w:r w:rsidRPr="0062451F">
        <w:t xml:space="preserve"> </w:t>
      </w:r>
      <w:r w:rsidRPr="00EF79C0">
        <w:rPr>
          <w:rFonts w:cs="TrumpMediaevalLTStd-Italic"/>
          <w:iCs/>
          <w:sz w:val="18"/>
          <w:szCs w:val="18"/>
        </w:rPr>
        <w:t>http://www.leg.state.vt.us/jfo/Tax%20Commission/Green%20Taxes%20-%20Flomenhoft%2012-2009.pdf</w:t>
      </w:r>
    </w:p>
    <w:p w:rsidR="00C0789E" w:rsidRDefault="00C0789E" w:rsidP="00135467">
      <w:pPr>
        <w:autoSpaceDE w:val="0"/>
        <w:autoSpaceDN w:val="0"/>
        <w:adjustRightInd w:val="0"/>
        <w:spacing w:after="0" w:line="240" w:lineRule="auto"/>
        <w:rPr>
          <w:rFonts w:ascii="StoneSansStd-Medium" w:hAnsi="StoneSansStd-Medium" w:cs="StoneSansStd-Medium"/>
          <w:color w:val="FFFFFF"/>
          <w:sz w:val="20"/>
          <w:szCs w:val="20"/>
        </w:rPr>
      </w:pPr>
      <w:r>
        <w:rPr>
          <w:rFonts w:ascii="StoneSansStd-Medium" w:hAnsi="StoneSansStd-Medium" w:cs="StoneSansStd-Medium"/>
          <w:color w:val="FFFFFF"/>
          <w:sz w:val="20"/>
          <w:szCs w:val="20"/>
        </w:rPr>
        <w:t>MPA/CDAE and Gund Institute</w:t>
      </w:r>
    </w:p>
    <w:p w:rsidR="00C0789E" w:rsidRDefault="00C0789E" w:rsidP="00135467">
      <w:pPr>
        <w:autoSpaceDE w:val="0"/>
        <w:autoSpaceDN w:val="0"/>
        <w:adjustRightInd w:val="0"/>
        <w:spacing w:after="0" w:line="240" w:lineRule="auto"/>
        <w:rPr>
          <w:rFonts w:ascii="StoneSansStd-Medium" w:hAnsi="StoneSansStd-Medium" w:cs="StoneSansStd-Medium"/>
          <w:color w:val="FFFFFF"/>
          <w:sz w:val="20"/>
          <w:szCs w:val="20"/>
        </w:rPr>
      </w:pPr>
      <w:r>
        <w:rPr>
          <w:rFonts w:ascii="StoneSansStd-Medium" w:hAnsi="StoneSansStd-Medium" w:cs="StoneSansStd-Medium"/>
          <w:color w:val="FFFFFF"/>
          <w:sz w:val="20"/>
          <w:szCs w:val="20"/>
        </w:rPr>
        <w:t>University of Vermont</w:t>
      </w:r>
    </w:p>
    <w:p w:rsidR="00C0789E" w:rsidRDefault="00C0789E" w:rsidP="00135467">
      <w:pPr>
        <w:pStyle w:val="FootnoteText"/>
      </w:pPr>
      <w:r>
        <w:rPr>
          <w:rFonts w:ascii="StoneSansStd-Medium" w:hAnsi="StoneSansStd-Medium" w:cs="StoneSansStd-Medium"/>
          <w:color w:val="FFFFFF"/>
        </w:rPr>
        <w:t>December 2009</w:t>
      </w:r>
    </w:p>
  </w:footnote>
  <w:footnote w:id="7">
    <w:p w:rsidR="00A57390" w:rsidRDefault="00A57390">
      <w:pPr>
        <w:pStyle w:val="FootnoteText"/>
      </w:pPr>
      <w:r>
        <w:rPr>
          <w:rStyle w:val="FootnoteReference"/>
        </w:rPr>
        <w:footnoteRef/>
      </w:r>
      <w:r>
        <w:t xml:space="preserve"> To gain a thorough understanding of this policy readers are invited to enroll in an online course on Land Rights ad Land Value Capture here: </w:t>
      </w:r>
      <w:hyperlink r:id="rId1" w:history="1">
        <w:r w:rsidRPr="006F2584">
          <w:rPr>
            <w:rStyle w:val="Hyperlink"/>
          </w:rPr>
          <w:t>www.course.earthrights.net</w:t>
        </w:r>
      </w:hyperlink>
      <w:r>
        <w:t xml:space="preserve"> </w:t>
      </w:r>
    </w:p>
  </w:footnote>
  <w:footnote w:id="8">
    <w:p w:rsidR="00C0789E" w:rsidRPr="00B9666B" w:rsidRDefault="00C0789E" w:rsidP="00135467">
      <w:pPr>
        <w:pStyle w:val="Default"/>
        <w:jc w:val="both"/>
        <w:rPr>
          <w:rFonts w:asciiTheme="minorHAnsi" w:hAnsiTheme="minorHAnsi" w:cs="Arial"/>
          <w:sz w:val="18"/>
          <w:szCs w:val="18"/>
        </w:rPr>
      </w:pPr>
      <w:r w:rsidRPr="00B9666B">
        <w:rPr>
          <w:rStyle w:val="FootnoteReference"/>
          <w:rFonts w:asciiTheme="minorHAnsi" w:hAnsiTheme="minorHAnsi"/>
          <w:sz w:val="18"/>
          <w:szCs w:val="18"/>
        </w:rPr>
        <w:footnoteRef/>
      </w:r>
      <w:r w:rsidR="0010288F">
        <w:rPr>
          <w:rFonts w:asciiTheme="minorHAnsi" w:hAnsiTheme="minorHAnsi" w:cs="Arial"/>
          <w:sz w:val="18"/>
          <w:szCs w:val="18"/>
        </w:rPr>
        <w:t>Alanna Hartzok</w:t>
      </w:r>
      <w:r w:rsidRPr="00B9666B">
        <w:rPr>
          <w:rFonts w:asciiTheme="minorHAnsi" w:hAnsiTheme="minorHAnsi" w:cs="Arial"/>
          <w:sz w:val="18"/>
          <w:szCs w:val="18"/>
        </w:rPr>
        <w:t>, “Economic Incentives for Building Sustainable Local Communities,” presented at the Eastern Economics Association Conference, Philadelphia, February, 2010.</w:t>
      </w:r>
    </w:p>
    <w:p w:rsidR="00C0789E" w:rsidRPr="00911EE1" w:rsidRDefault="00C0789E" w:rsidP="00135467">
      <w:pPr>
        <w:autoSpaceDE w:val="0"/>
        <w:autoSpaceDN w:val="0"/>
        <w:adjustRightInd w:val="0"/>
        <w:spacing w:after="0" w:line="240" w:lineRule="auto"/>
        <w:rPr>
          <w:rFonts w:ascii="Arial" w:hAnsi="Arial" w:cs="Arial"/>
          <w:color w:val="000000"/>
          <w:sz w:val="20"/>
          <w:szCs w:val="20"/>
        </w:rPr>
      </w:pPr>
      <w:r w:rsidRPr="00911EE1">
        <w:rPr>
          <w:rFonts w:ascii="Arial" w:hAnsi="Arial" w:cs="Arial"/>
          <w:color w:val="000000"/>
          <w:sz w:val="24"/>
          <w:szCs w:val="24"/>
        </w:rPr>
        <w:t xml:space="preserve"> </w:t>
      </w:r>
    </w:p>
    <w:p w:rsidR="00C0789E" w:rsidRDefault="00C0789E" w:rsidP="00135467">
      <w:pPr>
        <w:pStyle w:val="FootnoteText"/>
      </w:pPr>
    </w:p>
  </w:footnote>
  <w:footnote w:id="9">
    <w:p w:rsidR="00C0789E" w:rsidRDefault="00C0789E" w:rsidP="00135467">
      <w:pPr>
        <w:pStyle w:val="FootnoteText"/>
        <w:rPr>
          <w:rFonts w:cs="Arial"/>
          <w:bCs/>
          <w:sz w:val="18"/>
          <w:szCs w:val="18"/>
        </w:rPr>
      </w:pPr>
      <w:r w:rsidRPr="00210016">
        <w:rPr>
          <w:rStyle w:val="FootnoteReference"/>
          <w:sz w:val="18"/>
          <w:szCs w:val="18"/>
        </w:rPr>
        <w:footnoteRef/>
      </w:r>
      <w:r w:rsidRPr="00210016">
        <w:rPr>
          <w:sz w:val="18"/>
          <w:szCs w:val="18"/>
        </w:rPr>
        <w:t xml:space="preserve"> The author first wrote about this concern in an earlier paper on the APF: </w:t>
      </w:r>
      <w:r>
        <w:rPr>
          <w:sz w:val="18"/>
          <w:szCs w:val="18"/>
        </w:rPr>
        <w:t>“</w:t>
      </w:r>
      <w:r w:rsidRPr="00210016">
        <w:rPr>
          <w:rFonts w:cs="Arial"/>
          <w:bCs/>
          <w:sz w:val="18"/>
          <w:szCs w:val="18"/>
        </w:rPr>
        <w:t>The Alaska Permanent Fund: A Model of Resource Rents for Public Investment and Citizen Dividends</w:t>
      </w:r>
      <w:r w:rsidR="0010288F">
        <w:rPr>
          <w:rFonts w:cs="Arial"/>
          <w:bCs/>
          <w:sz w:val="18"/>
          <w:szCs w:val="18"/>
        </w:rPr>
        <w:t xml:space="preserve">.” In </w:t>
      </w:r>
      <w:r w:rsidR="0010288F" w:rsidRPr="0010288F">
        <w:rPr>
          <w:rFonts w:cs="Arial"/>
          <w:bCs/>
          <w:i/>
          <w:sz w:val="18"/>
          <w:szCs w:val="18"/>
        </w:rPr>
        <w:t>Geophilos</w:t>
      </w:r>
      <w:r w:rsidR="0010288F">
        <w:rPr>
          <w:rFonts w:cs="Arial"/>
          <w:bCs/>
          <w:sz w:val="18"/>
          <w:szCs w:val="18"/>
        </w:rPr>
        <w:t xml:space="preserve">, Land Research Trust, Spring 2002 and also </w:t>
      </w:r>
      <w:r>
        <w:rPr>
          <w:rFonts w:cs="Arial"/>
          <w:bCs/>
          <w:sz w:val="18"/>
          <w:szCs w:val="18"/>
        </w:rPr>
        <w:t xml:space="preserve">here:  </w:t>
      </w:r>
      <w:hyperlink r:id="rId2" w:history="1">
        <w:r w:rsidRPr="00CF7EE5">
          <w:rPr>
            <w:rStyle w:val="Hyperlink"/>
            <w:rFonts w:cs="Arial"/>
            <w:bCs/>
            <w:sz w:val="18"/>
            <w:szCs w:val="18"/>
          </w:rPr>
          <w:t>http://www.earthrights.net/docs/alaska.html</w:t>
        </w:r>
      </w:hyperlink>
    </w:p>
    <w:p w:rsidR="00C0789E" w:rsidRPr="00210016" w:rsidRDefault="00C0789E" w:rsidP="00135467">
      <w:pPr>
        <w:pStyle w:val="FootnoteText"/>
        <w:rPr>
          <w:sz w:val="18"/>
          <w:szCs w:val="18"/>
        </w:rPr>
      </w:pPr>
    </w:p>
  </w:footnote>
  <w:footnote w:id="10">
    <w:p w:rsidR="00C0789E" w:rsidRPr="0062451F" w:rsidRDefault="00C0789E" w:rsidP="0062451F">
      <w:pPr>
        <w:pStyle w:val="NormalWeb"/>
        <w:shd w:val="clear" w:color="auto" w:fill="FFFFFF"/>
        <w:rPr>
          <w:rFonts w:ascii="Arial" w:hAnsi="Arial" w:cs="Arial"/>
          <w:color w:val="000000"/>
          <w:sz w:val="15"/>
          <w:szCs w:val="15"/>
        </w:rPr>
      </w:pPr>
      <w:r w:rsidRPr="00CF3ADF">
        <w:rPr>
          <w:rStyle w:val="FootnoteReference"/>
          <w:sz w:val="18"/>
          <w:szCs w:val="18"/>
        </w:rPr>
        <w:footnoteRef/>
      </w:r>
      <w:r w:rsidR="00BE6ACE">
        <w:rPr>
          <w:color w:val="000000"/>
          <w:sz w:val="18"/>
          <w:szCs w:val="18"/>
        </w:rPr>
        <w:t>“</w:t>
      </w:r>
      <w:r w:rsidRPr="0062451F">
        <w:rPr>
          <w:color w:val="000000"/>
          <w:sz w:val="18"/>
          <w:szCs w:val="18"/>
        </w:rPr>
        <w:t xml:space="preserve">ExxonMobil Plans 2-Billion-Dollar Oil Investment Yearly in </w:t>
      </w:r>
      <w:r w:rsidR="00BE6ACE">
        <w:rPr>
          <w:color w:val="000000"/>
          <w:sz w:val="18"/>
          <w:szCs w:val="18"/>
        </w:rPr>
        <w:t>Nigeria.”</w:t>
      </w:r>
      <w:r w:rsidRPr="0062451F">
        <w:rPr>
          <w:color w:val="000000"/>
          <w:sz w:val="18"/>
          <w:szCs w:val="18"/>
        </w:rPr>
        <w:t xml:space="preserve"> Xinhua News Agency - CEIS</w:t>
      </w:r>
      <w:r w:rsidR="00BE6ACE">
        <w:rPr>
          <w:sz w:val="18"/>
          <w:szCs w:val="18"/>
        </w:rPr>
        <w:t>, 17 March 2006.</w:t>
      </w:r>
      <w:r>
        <w:rPr>
          <w:sz w:val="18"/>
          <w:szCs w:val="18"/>
        </w:rPr>
        <w:t xml:space="preserve"> </w:t>
      </w:r>
      <w:r w:rsidRPr="0062451F">
        <w:rPr>
          <w:sz w:val="18"/>
          <w:szCs w:val="18"/>
        </w:rPr>
        <w:t>http://www.redorbit.com/news/science/432775/exxonmobil_plans_2billiondollar_oil_investment_yearly_in_nigeria/index.html</w:t>
      </w:r>
    </w:p>
  </w:footnote>
  <w:footnote w:id="11">
    <w:p w:rsidR="00C0789E" w:rsidRPr="000B42C5" w:rsidRDefault="00C0789E" w:rsidP="000B42C5">
      <w:pPr>
        <w:rPr>
          <w:rFonts w:ascii="Times New Roman" w:eastAsia="Times New Roman" w:hAnsi="Times New Roman" w:cs="Times New Roman"/>
          <w:sz w:val="18"/>
          <w:szCs w:val="18"/>
        </w:rPr>
      </w:pPr>
      <w:r w:rsidRPr="00CF3ADF">
        <w:rPr>
          <w:rStyle w:val="FootnoteReference"/>
          <w:sz w:val="18"/>
          <w:szCs w:val="18"/>
        </w:rPr>
        <w:footnoteRef/>
      </w:r>
      <w:r w:rsidRPr="00CF3ADF">
        <w:rPr>
          <w:sz w:val="18"/>
          <w:szCs w:val="18"/>
        </w:rPr>
        <w:t xml:space="preserve"> </w:t>
      </w:r>
      <w:r w:rsidR="00642959">
        <w:rPr>
          <w:sz w:val="18"/>
          <w:szCs w:val="18"/>
        </w:rPr>
        <w:t>“</w:t>
      </w:r>
      <w:r w:rsidRPr="000B42C5">
        <w:rPr>
          <w:rFonts w:ascii="Times New Roman" w:hAnsi="Times New Roman" w:cs="Times New Roman"/>
          <w:sz w:val="18"/>
          <w:szCs w:val="18"/>
        </w:rPr>
        <w:t xml:space="preserve">Nigerian Oil Workers Shut Down ExxonMobil Over Sack of 84 Nigerian workers </w:t>
      </w:r>
      <w:r w:rsidR="00642959">
        <w:rPr>
          <w:rFonts w:ascii="Times New Roman" w:hAnsi="Times New Roman" w:cs="Times New Roman"/>
          <w:sz w:val="18"/>
          <w:szCs w:val="18"/>
        </w:rPr>
        <w:t xml:space="preserve">And Expatriate Quota Violation.” </w:t>
      </w:r>
      <w:r w:rsidRPr="000B42C5">
        <w:rPr>
          <w:rFonts w:ascii="Times New Roman" w:eastAsia="Times New Roman" w:hAnsi="Times New Roman" w:cs="Times New Roman"/>
          <w:sz w:val="18"/>
          <w:szCs w:val="18"/>
        </w:rPr>
        <w:t>Sahara</w:t>
      </w:r>
      <w:r w:rsidR="006B49EF">
        <w:rPr>
          <w:rFonts w:ascii="Times New Roman" w:eastAsia="Times New Roman" w:hAnsi="Times New Roman" w:cs="Times New Roman"/>
          <w:sz w:val="18"/>
          <w:szCs w:val="18"/>
        </w:rPr>
        <w:t xml:space="preserve"> </w:t>
      </w:r>
      <w:r w:rsidRPr="000B42C5">
        <w:rPr>
          <w:rFonts w:ascii="Times New Roman" w:eastAsia="Times New Roman" w:hAnsi="Times New Roman" w:cs="Times New Roman"/>
          <w:sz w:val="18"/>
          <w:szCs w:val="18"/>
        </w:rPr>
        <w:t xml:space="preserve">Reporters, New York , 30 </w:t>
      </w:r>
      <w:r w:rsidR="00642959">
        <w:rPr>
          <w:rFonts w:ascii="Times New Roman" w:hAnsi="Times New Roman" w:cs="Times New Roman"/>
          <w:sz w:val="18"/>
          <w:szCs w:val="18"/>
        </w:rPr>
        <w:t xml:space="preserve">November 2010. </w:t>
      </w:r>
      <w:r w:rsidRPr="000B42C5">
        <w:rPr>
          <w:rFonts w:ascii="Times New Roman" w:hAnsi="Times New Roman" w:cs="Times New Roman"/>
          <w:sz w:val="18"/>
          <w:szCs w:val="18"/>
        </w:rPr>
        <w:t xml:space="preserve"> http://www.saharareporters.com/news-page/nigerian-oil-workers-shut-down-exxonmobil-over-sack-84-nigerian-workers-and-expatriate-quo</w:t>
      </w:r>
    </w:p>
  </w:footnote>
  <w:footnote w:id="12">
    <w:p w:rsidR="00C0789E" w:rsidRPr="00CF3ADF" w:rsidRDefault="00C0789E" w:rsidP="00102FDA">
      <w:pPr>
        <w:pStyle w:val="FootnoteText"/>
        <w:rPr>
          <w:sz w:val="18"/>
          <w:szCs w:val="18"/>
        </w:rPr>
      </w:pPr>
      <w:r>
        <w:rPr>
          <w:rStyle w:val="FootnoteReference"/>
        </w:rPr>
        <w:footnoteRef/>
      </w:r>
      <w:r w:rsidR="00642959">
        <w:rPr>
          <w:rFonts w:ascii="Times New Roman" w:hAnsi="Times New Roman" w:cs="Times New Roman"/>
          <w:sz w:val="18"/>
          <w:szCs w:val="18"/>
        </w:rPr>
        <w:t xml:space="preserve"> “</w:t>
      </w:r>
      <w:r w:rsidRPr="00B372F5">
        <w:rPr>
          <w:rFonts w:ascii="Times New Roman" w:hAnsi="Times New Roman" w:cs="Times New Roman"/>
          <w:sz w:val="18"/>
          <w:szCs w:val="18"/>
        </w:rPr>
        <w:t>Chevron (CVX) in Nigeria: Claiming Rights and R</w:t>
      </w:r>
      <w:r w:rsidR="00642959">
        <w:rPr>
          <w:rFonts w:ascii="Times New Roman" w:hAnsi="Times New Roman" w:cs="Times New Roman"/>
          <w:sz w:val="18"/>
          <w:szCs w:val="18"/>
        </w:rPr>
        <w:t>esources.” Amnesty International.”</w:t>
      </w:r>
      <w:r w:rsidRPr="00B372F5">
        <w:rPr>
          <w:rFonts w:ascii="Times New Roman" w:hAnsi="Times New Roman" w:cs="Times New Roman"/>
          <w:sz w:val="18"/>
          <w:szCs w:val="18"/>
        </w:rPr>
        <w:t xml:space="preserve"> November, 2005</w:t>
      </w:r>
      <w:r w:rsidR="00642959">
        <w:rPr>
          <w:rFonts w:ascii="Times New Roman" w:hAnsi="Times New Roman" w:cs="Times New Roman"/>
          <w:sz w:val="18"/>
          <w:szCs w:val="18"/>
        </w:rPr>
        <w:t>.</w:t>
      </w:r>
      <w:r w:rsidRPr="00B372F5">
        <w:rPr>
          <w:rFonts w:ascii="Times New Roman" w:hAnsi="Times New Roman" w:cs="Times New Roman"/>
          <w:sz w:val="18"/>
          <w:szCs w:val="18"/>
        </w:rPr>
        <w:t xml:space="preserve"> http</w:t>
      </w:r>
      <w:r w:rsidRPr="00CF3ADF">
        <w:rPr>
          <w:sz w:val="18"/>
          <w:szCs w:val="18"/>
        </w:rPr>
        <w:t>://www.amnestyusa.org/business-and-human-rights/chevron-corp/chevron-in-nigeria/page.do?id=1101656</w:t>
      </w:r>
    </w:p>
    <w:p w:rsidR="00C0789E" w:rsidRDefault="00C0789E">
      <w:pPr>
        <w:pStyle w:val="FootnoteText"/>
      </w:pPr>
    </w:p>
  </w:footnote>
  <w:footnote w:id="13">
    <w:p w:rsidR="00C0789E" w:rsidRPr="004A75F6" w:rsidRDefault="00C0789E" w:rsidP="00603006">
      <w:pPr>
        <w:pStyle w:val="FootnoteText"/>
        <w:rPr>
          <w:sz w:val="18"/>
          <w:szCs w:val="18"/>
        </w:rPr>
      </w:pPr>
      <w:r w:rsidRPr="004A75F6">
        <w:rPr>
          <w:rStyle w:val="FootnoteReference"/>
          <w:sz w:val="18"/>
          <w:szCs w:val="18"/>
        </w:rPr>
        <w:footnoteRef/>
      </w:r>
      <w:r w:rsidRPr="004A75F6">
        <w:rPr>
          <w:sz w:val="18"/>
          <w:szCs w:val="18"/>
        </w:rPr>
        <w:t xml:space="preserve"> An online course on Land Rights and Land Value Capture can be found here: www.course.earthrights.net</w:t>
      </w:r>
    </w:p>
  </w:footnote>
  <w:footnote w:id="14">
    <w:p w:rsidR="00C0789E" w:rsidRPr="00B9666B" w:rsidRDefault="00C0789E" w:rsidP="00135467">
      <w:pPr>
        <w:pStyle w:val="FootnoteText"/>
        <w:rPr>
          <w:sz w:val="18"/>
          <w:szCs w:val="18"/>
        </w:rPr>
      </w:pPr>
      <w:r w:rsidRPr="00B9666B">
        <w:rPr>
          <w:rStyle w:val="FootnoteReference"/>
          <w:sz w:val="18"/>
          <w:szCs w:val="18"/>
        </w:rPr>
        <w:footnoteRef/>
      </w:r>
      <w:r w:rsidRPr="00B9666B">
        <w:rPr>
          <w:sz w:val="18"/>
          <w:szCs w:val="18"/>
        </w:rPr>
        <w:t xml:space="preserve"> For example, see the work of Transparency International here: http://www.transparency.org</w:t>
      </w:r>
    </w:p>
  </w:footnote>
  <w:footnote w:id="15">
    <w:p w:rsidR="00C0789E" w:rsidRDefault="00C0789E">
      <w:pPr>
        <w:pStyle w:val="FootnoteText"/>
      </w:pPr>
      <w:r>
        <w:rPr>
          <w:rStyle w:val="FootnoteReference"/>
        </w:rPr>
        <w:footnoteRef/>
      </w:r>
      <w:r>
        <w:t xml:space="preserve"> Alanna Hartzok, “Democracy, </w:t>
      </w:r>
      <w:r w:rsidR="002E2A22">
        <w:t>Earth Rights and the Next Econom</w:t>
      </w:r>
      <w:r w:rsidR="00642959">
        <w:t>y.”</w:t>
      </w:r>
      <w:r>
        <w:t xml:space="preserve"> 2001 E.F. Schumacher Lecture, also published in </w:t>
      </w:r>
      <w:r w:rsidRPr="002E2A22">
        <w:rPr>
          <w:u w:val="single"/>
        </w:rPr>
        <w:t>The Earth Belongs to Everyone</w:t>
      </w:r>
      <w:r>
        <w:t>, Institute for Economic Democracy Press, 2008.</w:t>
      </w:r>
    </w:p>
  </w:footnote>
  <w:footnote w:id="16">
    <w:p w:rsidR="00C0789E" w:rsidRPr="00B9666B" w:rsidRDefault="00C0789E" w:rsidP="00135467">
      <w:pPr>
        <w:pStyle w:val="NormalWeb"/>
        <w:rPr>
          <w:rFonts w:asciiTheme="minorHAnsi" w:hAnsiTheme="minorHAnsi" w:cs="Arial"/>
          <w:bCs/>
          <w:sz w:val="18"/>
          <w:szCs w:val="18"/>
        </w:rPr>
      </w:pPr>
      <w:r w:rsidRPr="00B9666B">
        <w:rPr>
          <w:rStyle w:val="FootnoteReference"/>
          <w:rFonts w:asciiTheme="minorHAnsi" w:hAnsiTheme="minorHAnsi"/>
          <w:sz w:val="18"/>
          <w:szCs w:val="18"/>
        </w:rPr>
        <w:footnoteRef/>
      </w:r>
      <w:r w:rsidRPr="00B9666B">
        <w:rPr>
          <w:rFonts w:asciiTheme="minorHAnsi" w:hAnsiTheme="minorHAnsi"/>
          <w:sz w:val="18"/>
          <w:szCs w:val="18"/>
        </w:rPr>
        <w:t xml:space="preserve"> </w:t>
      </w:r>
      <w:r>
        <w:rPr>
          <w:rFonts w:asciiTheme="minorHAnsi" w:hAnsiTheme="minorHAnsi"/>
          <w:sz w:val="18"/>
          <w:szCs w:val="18"/>
        </w:rPr>
        <w:t>See</w:t>
      </w:r>
      <w:r w:rsidRPr="00B9666B">
        <w:rPr>
          <w:rFonts w:asciiTheme="minorHAnsi" w:hAnsiTheme="minorHAnsi"/>
          <w:sz w:val="18"/>
          <w:szCs w:val="18"/>
        </w:rPr>
        <w:t>: “</w:t>
      </w:r>
      <w:r w:rsidRPr="00B9666B">
        <w:rPr>
          <w:rFonts w:asciiTheme="minorHAnsi" w:hAnsiTheme="minorHAnsi" w:cs="Arial"/>
          <w:bCs/>
          <w:sz w:val="18"/>
          <w:szCs w:val="18"/>
        </w:rPr>
        <w:t>A Green Tax Shift Policy Approach To Financing Local-To-Global Public Goods”</w:t>
      </w:r>
      <w:r>
        <w:rPr>
          <w:rFonts w:asciiTheme="minorHAnsi" w:hAnsiTheme="minorHAnsi"/>
          <w:sz w:val="18"/>
          <w:szCs w:val="18"/>
        </w:rPr>
        <w:t xml:space="preserve"> </w:t>
      </w:r>
      <w:r w:rsidRPr="00B9666B">
        <w:rPr>
          <w:rFonts w:asciiTheme="minorHAnsi" w:hAnsiTheme="minorHAnsi"/>
          <w:sz w:val="18"/>
          <w:szCs w:val="18"/>
        </w:rPr>
        <w:t xml:space="preserve"> </w:t>
      </w:r>
      <w:hyperlink r:id="rId3" w:history="1">
        <w:r w:rsidRPr="00B9666B">
          <w:rPr>
            <w:rStyle w:val="Hyperlink"/>
            <w:rFonts w:asciiTheme="minorHAnsi" w:eastAsiaTheme="majorEastAsia" w:hAnsiTheme="minorHAnsi"/>
            <w:sz w:val="18"/>
            <w:szCs w:val="18"/>
          </w:rPr>
          <w:t>http://www.earthrights.net/docs/greentax.html</w:t>
        </w:r>
      </w:hyperlink>
      <w:r w:rsidRPr="00B9666B">
        <w:rPr>
          <w:rFonts w:asciiTheme="minorHAnsi" w:hAnsiTheme="minorHAnsi"/>
          <w:sz w:val="18"/>
          <w:szCs w:val="18"/>
        </w:rPr>
        <w:t xml:space="preserve"> and “</w:t>
      </w:r>
      <w:r w:rsidRPr="00B9666B">
        <w:rPr>
          <w:rFonts w:asciiTheme="minorHAnsi" w:hAnsiTheme="minorHAnsi" w:cs="Arial"/>
          <w:bCs/>
          <w:sz w:val="18"/>
          <w:szCs w:val="18"/>
        </w:rPr>
        <w:t xml:space="preserve">Financing Local to Global Public Goods: An Integrated Green Tax Shift Perspective” here: </w:t>
      </w:r>
      <w:hyperlink r:id="rId4" w:history="1">
        <w:r w:rsidRPr="00B9666B">
          <w:rPr>
            <w:rStyle w:val="Hyperlink"/>
            <w:rFonts w:asciiTheme="minorHAnsi" w:eastAsiaTheme="majorEastAsia" w:hAnsiTheme="minorHAnsi" w:cs="Arial"/>
            <w:bCs/>
            <w:sz w:val="18"/>
            <w:szCs w:val="18"/>
          </w:rPr>
          <w:t>http://www.earthrights.net/docs/financing.html</w:t>
        </w:r>
      </w:hyperlink>
      <w:r w:rsidRPr="00B9666B">
        <w:rPr>
          <w:rFonts w:asciiTheme="minorHAnsi" w:hAnsiTheme="minorHAnsi" w:cs="Arial"/>
          <w:bCs/>
          <w:sz w:val="18"/>
          <w:szCs w:val="18"/>
        </w:rPr>
        <w:t xml:space="preserve"> These are also published in </w:t>
      </w:r>
      <w:r w:rsidRPr="00B9666B">
        <w:rPr>
          <w:rFonts w:asciiTheme="minorHAnsi" w:hAnsiTheme="minorHAnsi" w:cs="Arial"/>
          <w:bCs/>
          <w:sz w:val="18"/>
          <w:szCs w:val="18"/>
          <w:u w:val="single"/>
        </w:rPr>
        <w:t>The Earth Belongs to Everyone: Articles and Essays</w:t>
      </w:r>
      <w:r w:rsidRPr="00B9666B">
        <w:rPr>
          <w:rFonts w:asciiTheme="minorHAnsi" w:hAnsiTheme="minorHAnsi" w:cs="Arial"/>
          <w:bCs/>
          <w:sz w:val="18"/>
          <w:szCs w:val="18"/>
        </w:rPr>
        <w:t xml:space="preserve"> by Alanna Hartzok</w:t>
      </w:r>
      <w:r>
        <w:rPr>
          <w:rFonts w:asciiTheme="minorHAnsi" w:hAnsiTheme="minorHAnsi" w:cs="Arial"/>
          <w:bCs/>
          <w:sz w:val="18"/>
          <w:szCs w:val="18"/>
        </w:rPr>
        <w:t>, Institute for Economic Democracy Press,</w:t>
      </w:r>
      <w:r w:rsidR="007B0BC6">
        <w:rPr>
          <w:rFonts w:asciiTheme="minorHAnsi" w:hAnsiTheme="minorHAnsi" w:cs="Arial"/>
          <w:bCs/>
          <w:sz w:val="18"/>
          <w:szCs w:val="18"/>
        </w:rPr>
        <w:t xml:space="preserve"> Radford, VA, USA</w:t>
      </w:r>
      <w:r>
        <w:rPr>
          <w:rFonts w:asciiTheme="minorHAnsi" w:hAnsiTheme="minorHAnsi" w:cs="Arial"/>
          <w:bCs/>
          <w:sz w:val="18"/>
          <w:szCs w:val="18"/>
        </w:rPr>
        <w:t xml:space="preserve"> 2008.</w:t>
      </w:r>
    </w:p>
    <w:p w:rsidR="00C0789E" w:rsidRPr="00B9666B" w:rsidRDefault="00C0789E" w:rsidP="00135467">
      <w:pPr>
        <w:pStyle w:val="FootnoteText"/>
        <w:rPr>
          <w:sz w:val="18"/>
          <w:szCs w:val="18"/>
        </w:rPr>
      </w:pPr>
    </w:p>
  </w:footnote>
  <w:footnote w:id="17">
    <w:p w:rsidR="00B9608F" w:rsidRPr="00B9608F" w:rsidRDefault="00B9608F" w:rsidP="00B9608F">
      <w:pPr>
        <w:rPr>
          <w:rFonts w:ascii="Times New Roman" w:eastAsia="Times New Roman" w:hAnsi="Times New Roman" w:cs="Times New Roman"/>
          <w:sz w:val="18"/>
          <w:szCs w:val="18"/>
        </w:rPr>
      </w:pPr>
      <w:r>
        <w:rPr>
          <w:rStyle w:val="FootnoteReference"/>
        </w:rPr>
        <w:footnoteRef/>
      </w:r>
      <w:r>
        <w:t xml:space="preserve"> </w:t>
      </w:r>
      <w:r w:rsidRPr="00E1155D">
        <w:rPr>
          <w:rFonts w:ascii="Times New Roman" w:hAnsi="Times New Roman" w:cs="Times New Roman"/>
          <w:sz w:val="18"/>
          <w:szCs w:val="18"/>
        </w:rPr>
        <w:t>Mason Gaffney,</w:t>
      </w:r>
      <w:r>
        <w:t xml:space="preserve"> </w:t>
      </w:r>
      <w:r w:rsidR="00642959">
        <w:t>“</w:t>
      </w:r>
      <w:r w:rsidRPr="00B9608F">
        <w:rPr>
          <w:rFonts w:ascii="Times New Roman" w:eastAsia="Times New Roman" w:hAnsi="Times New Roman" w:cs="Times New Roman"/>
          <w:bCs/>
          <w:sz w:val="18"/>
          <w:szCs w:val="18"/>
        </w:rPr>
        <w:t>The Taxable Capacity of Land</w:t>
      </w:r>
      <w:r w:rsidR="00642959">
        <w:rPr>
          <w:rFonts w:ascii="Times New Roman" w:eastAsia="Times New Roman" w:hAnsi="Times New Roman" w:cs="Times New Roman"/>
          <w:sz w:val="18"/>
          <w:szCs w:val="18"/>
        </w:rPr>
        <w:t>.”</w:t>
      </w:r>
      <w:r w:rsidRPr="00B9608F">
        <w:rPr>
          <w:rFonts w:ascii="Times New Roman" w:eastAsia="Times New Roman" w:hAnsi="Times New Roman" w:cs="Times New Roman"/>
          <w:sz w:val="18"/>
          <w:szCs w:val="18"/>
        </w:rPr>
        <w:t xml:space="preserve"> </w:t>
      </w:r>
      <w:r w:rsidRPr="00642959">
        <w:rPr>
          <w:rFonts w:ascii="Times New Roman" w:eastAsia="Times New Roman" w:hAnsi="Times New Roman" w:cs="Times New Roman"/>
          <w:bCs/>
          <w:i/>
          <w:iCs/>
          <w:sz w:val="18"/>
          <w:szCs w:val="18"/>
        </w:rPr>
        <w:t>Land Value Taxation</w:t>
      </w:r>
      <w:r w:rsidRPr="00B9608F">
        <w:rPr>
          <w:rFonts w:ascii="Times New Roman" w:eastAsia="Times New Roman" w:hAnsi="Times New Roman" w:cs="Times New Roman"/>
          <w:sz w:val="18"/>
          <w:szCs w:val="18"/>
        </w:rPr>
        <w:t>. Government Law Center, Albany Law School,</w:t>
      </w:r>
      <w:r w:rsidR="00642959">
        <w:rPr>
          <w:rFonts w:ascii="Times New Roman" w:eastAsia="Times New Roman" w:hAnsi="Times New Roman" w:cs="Times New Roman"/>
          <w:sz w:val="18"/>
          <w:szCs w:val="18"/>
        </w:rPr>
        <w:t xml:space="preserve"> Albany, N.Y. 1993</w:t>
      </w:r>
      <w:r w:rsidRPr="00B9608F">
        <w:rPr>
          <w:rFonts w:ascii="Times New Roman" w:eastAsia="Times New Roman" w:hAnsi="Times New Roman" w:cs="Times New Roman"/>
          <w:sz w:val="18"/>
          <w:szCs w:val="18"/>
        </w:rPr>
        <w:t xml:space="preserve"> pp. 59-82</w:t>
      </w:r>
      <w:r>
        <w:rPr>
          <w:rFonts w:ascii="Times New Roman" w:eastAsia="Times New Roman" w:hAnsi="Times New Roman" w:cs="Times New Roman"/>
          <w:sz w:val="18"/>
          <w:szCs w:val="18"/>
        </w:rPr>
        <w:t xml:space="preserve">. </w:t>
      </w:r>
      <w:r w:rsidRPr="00B9608F">
        <w:rPr>
          <w:rFonts w:ascii="Times New Roman" w:eastAsia="Times New Roman" w:hAnsi="Times New Roman" w:cs="Times New Roman"/>
          <w:sz w:val="18"/>
          <w:szCs w:val="18"/>
        </w:rPr>
        <w:t>http://www.wealthandwant.com/docs/Gaffney_TCoL.html</w:t>
      </w:r>
    </w:p>
    <w:p w:rsidR="00B9608F" w:rsidRDefault="00B9608F">
      <w:pPr>
        <w:pStyle w:val="FootnoteText"/>
      </w:pPr>
    </w:p>
  </w:footnote>
  <w:footnote w:id="18">
    <w:p w:rsidR="00C0789E" w:rsidRDefault="00C0789E" w:rsidP="00135467">
      <w:pPr>
        <w:pStyle w:val="FootnoteText"/>
      </w:pPr>
      <w:r>
        <w:rPr>
          <w:rStyle w:val="FootnoteReference"/>
        </w:rPr>
        <w:footnoteRef/>
      </w:r>
      <w:r>
        <w:t xml:space="preserve"> </w:t>
      </w:r>
      <w:r w:rsidR="00642959">
        <w:t>“</w:t>
      </w:r>
      <w:r>
        <w:t xml:space="preserve">Former Irish President Mary Robinson Calls </w:t>
      </w:r>
      <w:r w:rsidR="00642959">
        <w:t>for Global Climate Justice Fund.”</w:t>
      </w:r>
      <w:r>
        <w:t xml:space="preserve"> </w:t>
      </w:r>
      <w:r w:rsidRPr="00642959">
        <w:rPr>
          <w:i/>
        </w:rPr>
        <w:t>Democracy Now</w:t>
      </w:r>
      <w:r w:rsidR="007B0BC6">
        <w:t xml:space="preserve">, December 06, 2010. </w:t>
      </w:r>
      <w:r w:rsidRPr="002E7DEE">
        <w:t xml:space="preserve"> http://www.democracynow.org/2010/12/6/fmr_irish_president_mary_robinson_calls</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62683"/>
      <w:docPartObj>
        <w:docPartGallery w:val="Page Numbers (Top of Page)"/>
        <w:docPartUnique/>
      </w:docPartObj>
    </w:sdtPr>
    <w:sdtContent>
      <w:p w:rsidR="00C0789E" w:rsidRDefault="00834C50">
        <w:pPr>
          <w:pStyle w:val="Header"/>
          <w:jc w:val="right"/>
        </w:pPr>
        <w:fldSimple w:instr=" PAGE   \* MERGEFORMAT ">
          <w:r w:rsidR="00480969">
            <w:rPr>
              <w:noProof/>
            </w:rPr>
            <w:t>12</w:t>
          </w:r>
        </w:fldSimple>
      </w:p>
    </w:sdtContent>
  </w:sdt>
  <w:p w:rsidR="00C0789E" w:rsidRDefault="00C0789E">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7C39"/>
    <w:multiLevelType w:val="hybridMultilevel"/>
    <w:tmpl w:val="B55E6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D61509"/>
    <w:multiLevelType w:val="hybridMultilevel"/>
    <w:tmpl w:val="4500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94DD8"/>
    <w:multiLevelType w:val="multilevel"/>
    <w:tmpl w:val="ADB46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A36B82"/>
    <w:multiLevelType w:val="hybridMultilevel"/>
    <w:tmpl w:val="66C884A6"/>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4">
    <w:nsid w:val="7F897246"/>
    <w:multiLevelType w:val="multilevel"/>
    <w:tmpl w:val="8C80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294"/>
  <w:doNotTrackMoves/>
  <w:defaultTabStop w:val="720"/>
  <w:characterSpacingControl w:val="doNotCompress"/>
  <w:footnotePr>
    <w:footnote w:id="-1"/>
    <w:footnote w:id="0"/>
  </w:footnotePr>
  <w:endnotePr>
    <w:endnote w:id="-1"/>
    <w:endnote w:id="0"/>
  </w:endnotePr>
  <w:compat/>
  <w:rsids>
    <w:rsidRoot w:val="00135467"/>
    <w:rsid w:val="00037F20"/>
    <w:rsid w:val="000B42C5"/>
    <w:rsid w:val="000E3147"/>
    <w:rsid w:val="000E7EAC"/>
    <w:rsid w:val="0010288F"/>
    <w:rsid w:val="00102FDA"/>
    <w:rsid w:val="001175DB"/>
    <w:rsid w:val="00135467"/>
    <w:rsid w:val="00154008"/>
    <w:rsid w:val="00155996"/>
    <w:rsid w:val="001D5955"/>
    <w:rsid w:val="00210247"/>
    <w:rsid w:val="00246FCC"/>
    <w:rsid w:val="0026096D"/>
    <w:rsid w:val="002D7C83"/>
    <w:rsid w:val="002E2A22"/>
    <w:rsid w:val="00310BAC"/>
    <w:rsid w:val="00336C39"/>
    <w:rsid w:val="00377CE6"/>
    <w:rsid w:val="003B78D3"/>
    <w:rsid w:val="003D3645"/>
    <w:rsid w:val="003E28E4"/>
    <w:rsid w:val="004366DB"/>
    <w:rsid w:val="00471609"/>
    <w:rsid w:val="00476059"/>
    <w:rsid w:val="00480969"/>
    <w:rsid w:val="00493BB8"/>
    <w:rsid w:val="00583ABD"/>
    <w:rsid w:val="005A0ACD"/>
    <w:rsid w:val="005A1407"/>
    <w:rsid w:val="005A6D78"/>
    <w:rsid w:val="005A77D3"/>
    <w:rsid w:val="00603006"/>
    <w:rsid w:val="0062451F"/>
    <w:rsid w:val="00642959"/>
    <w:rsid w:val="00672F3E"/>
    <w:rsid w:val="006B49EF"/>
    <w:rsid w:val="007567EF"/>
    <w:rsid w:val="00785262"/>
    <w:rsid w:val="00796EE0"/>
    <w:rsid w:val="007B0BC6"/>
    <w:rsid w:val="007F4AC6"/>
    <w:rsid w:val="0081185B"/>
    <w:rsid w:val="00834C50"/>
    <w:rsid w:val="00846BA9"/>
    <w:rsid w:val="00852DF9"/>
    <w:rsid w:val="00891849"/>
    <w:rsid w:val="008D25C7"/>
    <w:rsid w:val="008D6272"/>
    <w:rsid w:val="0093371D"/>
    <w:rsid w:val="00954422"/>
    <w:rsid w:val="00977E38"/>
    <w:rsid w:val="009A2B97"/>
    <w:rsid w:val="009A6ACB"/>
    <w:rsid w:val="009B457E"/>
    <w:rsid w:val="009C5271"/>
    <w:rsid w:val="009E6BBE"/>
    <w:rsid w:val="009F2985"/>
    <w:rsid w:val="009F5B97"/>
    <w:rsid w:val="00A31D0E"/>
    <w:rsid w:val="00A4216B"/>
    <w:rsid w:val="00A5158C"/>
    <w:rsid w:val="00A57390"/>
    <w:rsid w:val="00A83B2D"/>
    <w:rsid w:val="00A91D6A"/>
    <w:rsid w:val="00A965A9"/>
    <w:rsid w:val="00AD4D2E"/>
    <w:rsid w:val="00B372F5"/>
    <w:rsid w:val="00B439D8"/>
    <w:rsid w:val="00B55C7A"/>
    <w:rsid w:val="00B90B58"/>
    <w:rsid w:val="00B9608F"/>
    <w:rsid w:val="00BA1B4F"/>
    <w:rsid w:val="00BC496C"/>
    <w:rsid w:val="00BD24DF"/>
    <w:rsid w:val="00BE6ACE"/>
    <w:rsid w:val="00C0789E"/>
    <w:rsid w:val="00C827CA"/>
    <w:rsid w:val="00C95C7D"/>
    <w:rsid w:val="00CC055A"/>
    <w:rsid w:val="00CC42C7"/>
    <w:rsid w:val="00CD78E7"/>
    <w:rsid w:val="00D10231"/>
    <w:rsid w:val="00D15F9C"/>
    <w:rsid w:val="00D2469A"/>
    <w:rsid w:val="00D2560F"/>
    <w:rsid w:val="00D33F6E"/>
    <w:rsid w:val="00D51BBF"/>
    <w:rsid w:val="00D854E1"/>
    <w:rsid w:val="00DE0039"/>
    <w:rsid w:val="00E1155D"/>
    <w:rsid w:val="00E44D91"/>
    <w:rsid w:val="00EC18E9"/>
    <w:rsid w:val="00ED5F04"/>
    <w:rsid w:val="00EF79C0"/>
    <w:rsid w:val="00F14444"/>
    <w:rsid w:val="00F23D62"/>
    <w:rsid w:val="00F35FFB"/>
    <w:rsid w:val="00F42FDC"/>
    <w:rsid w:val="00F55770"/>
    <w:rsid w:val="00F6386F"/>
    <w:rsid w:val="00FD0788"/>
    <w:rsid w:val="00FD770E"/>
    <w:rsid w:val="00FF4B5A"/>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91"/>
  </w:style>
  <w:style w:type="paragraph" w:styleId="Heading1">
    <w:name w:val="heading 1"/>
    <w:basedOn w:val="Normal"/>
    <w:link w:val="Heading1Char"/>
    <w:uiPriority w:val="9"/>
    <w:qFormat/>
    <w:rsid w:val="00135467"/>
    <w:pPr>
      <w:spacing w:after="267" w:line="240" w:lineRule="auto"/>
      <w:outlineLvl w:val="0"/>
    </w:pPr>
    <w:rPr>
      <w:rFonts w:ascii="Times New Roman" w:eastAsia="Times New Roman" w:hAnsi="Times New Roman" w:cs="Times New Roman"/>
      <w:b/>
      <w:bCs/>
      <w:color w:val="333333"/>
      <w:spacing w:val="12"/>
      <w:kern w:val="36"/>
      <w:sz w:val="19"/>
      <w:szCs w:val="19"/>
    </w:rPr>
  </w:style>
  <w:style w:type="paragraph" w:styleId="Heading2">
    <w:name w:val="heading 2"/>
    <w:basedOn w:val="Normal"/>
    <w:next w:val="Normal"/>
    <w:link w:val="Heading2Char"/>
    <w:uiPriority w:val="9"/>
    <w:semiHidden/>
    <w:unhideWhenUsed/>
    <w:qFormat/>
    <w:rsid w:val="001354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35467"/>
    <w:rPr>
      <w:rFonts w:ascii="Times New Roman" w:eastAsia="Times New Roman" w:hAnsi="Times New Roman" w:cs="Times New Roman"/>
      <w:b/>
      <w:bCs/>
      <w:color w:val="333333"/>
      <w:spacing w:val="12"/>
      <w:kern w:val="36"/>
      <w:sz w:val="19"/>
      <w:szCs w:val="19"/>
    </w:rPr>
  </w:style>
  <w:style w:type="character" w:customStyle="1" w:styleId="Heading2Char">
    <w:name w:val="Heading 2 Char"/>
    <w:basedOn w:val="DefaultParagraphFont"/>
    <w:link w:val="Heading2"/>
    <w:uiPriority w:val="9"/>
    <w:semiHidden/>
    <w:rsid w:val="0013546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1354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5467"/>
    <w:rPr>
      <w:color w:val="0000FF"/>
      <w:u w:val="single"/>
    </w:rPr>
  </w:style>
  <w:style w:type="paragraph" w:styleId="BalloonText">
    <w:name w:val="Balloon Text"/>
    <w:basedOn w:val="Normal"/>
    <w:link w:val="BalloonTextChar"/>
    <w:uiPriority w:val="99"/>
    <w:semiHidden/>
    <w:unhideWhenUsed/>
    <w:rsid w:val="00135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467"/>
    <w:rPr>
      <w:rFonts w:ascii="Tahoma" w:hAnsi="Tahoma" w:cs="Tahoma"/>
      <w:sz w:val="16"/>
      <w:szCs w:val="16"/>
    </w:rPr>
  </w:style>
  <w:style w:type="paragraph" w:customStyle="1" w:styleId="Default">
    <w:name w:val="Default"/>
    <w:rsid w:val="00135467"/>
    <w:pPr>
      <w:autoSpaceDE w:val="0"/>
      <w:autoSpaceDN w:val="0"/>
      <w:adjustRightInd w:val="0"/>
      <w:spacing w:after="0" w:line="240" w:lineRule="auto"/>
    </w:pPr>
    <w:rPr>
      <w:rFonts w:ascii="Symbol" w:hAnsi="Symbol" w:cs="Symbol"/>
      <w:color w:val="000000"/>
      <w:sz w:val="24"/>
      <w:szCs w:val="24"/>
    </w:rPr>
  </w:style>
  <w:style w:type="paragraph" w:styleId="FootnoteText">
    <w:name w:val="footnote text"/>
    <w:basedOn w:val="Normal"/>
    <w:link w:val="FootnoteTextChar"/>
    <w:uiPriority w:val="99"/>
    <w:semiHidden/>
    <w:unhideWhenUsed/>
    <w:rsid w:val="001354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467"/>
    <w:rPr>
      <w:sz w:val="20"/>
      <w:szCs w:val="20"/>
    </w:rPr>
  </w:style>
  <w:style w:type="character" w:styleId="FootnoteReference">
    <w:name w:val="footnote reference"/>
    <w:basedOn w:val="DefaultParagraphFont"/>
    <w:uiPriority w:val="99"/>
    <w:semiHidden/>
    <w:unhideWhenUsed/>
    <w:rsid w:val="00135467"/>
    <w:rPr>
      <w:vertAlign w:val="superscript"/>
    </w:rPr>
  </w:style>
  <w:style w:type="character" w:styleId="Strong">
    <w:name w:val="Strong"/>
    <w:basedOn w:val="DefaultParagraphFont"/>
    <w:uiPriority w:val="22"/>
    <w:qFormat/>
    <w:rsid w:val="00135467"/>
    <w:rPr>
      <w:b/>
      <w:bCs/>
    </w:rPr>
  </w:style>
  <w:style w:type="paragraph" w:styleId="Header">
    <w:name w:val="header"/>
    <w:basedOn w:val="Normal"/>
    <w:link w:val="HeaderChar"/>
    <w:uiPriority w:val="99"/>
    <w:unhideWhenUsed/>
    <w:rsid w:val="00135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467"/>
  </w:style>
  <w:style w:type="paragraph" w:styleId="Footer">
    <w:name w:val="footer"/>
    <w:basedOn w:val="Normal"/>
    <w:link w:val="FooterChar"/>
    <w:uiPriority w:val="99"/>
    <w:semiHidden/>
    <w:unhideWhenUsed/>
    <w:rsid w:val="001354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5467"/>
  </w:style>
  <w:style w:type="paragraph" w:styleId="z-TopofForm">
    <w:name w:val="HTML Top of Form"/>
    <w:basedOn w:val="Normal"/>
    <w:next w:val="Normal"/>
    <w:link w:val="z-TopofFormChar"/>
    <w:hidden/>
    <w:uiPriority w:val="99"/>
    <w:semiHidden/>
    <w:unhideWhenUsed/>
    <w:rsid w:val="0013546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3546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3546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35467"/>
    <w:rPr>
      <w:rFonts w:ascii="Arial" w:eastAsia="Times New Roman" w:hAnsi="Arial" w:cs="Arial"/>
      <w:vanish/>
      <w:sz w:val="16"/>
      <w:szCs w:val="16"/>
    </w:rPr>
  </w:style>
  <w:style w:type="paragraph" w:styleId="ListParagraph">
    <w:name w:val="List Paragraph"/>
    <w:basedOn w:val="Normal"/>
    <w:uiPriority w:val="34"/>
    <w:qFormat/>
    <w:rsid w:val="00DE0039"/>
    <w:pPr>
      <w:ind w:left="720"/>
      <w:contextualSpacing/>
    </w:pPr>
  </w:style>
  <w:style w:type="paragraph" w:styleId="EndnoteText">
    <w:name w:val="endnote text"/>
    <w:basedOn w:val="Normal"/>
    <w:link w:val="EndnoteTextChar"/>
    <w:uiPriority w:val="99"/>
    <w:semiHidden/>
    <w:unhideWhenUsed/>
    <w:rsid w:val="00EF79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79C0"/>
    <w:rPr>
      <w:sz w:val="20"/>
      <w:szCs w:val="20"/>
    </w:rPr>
  </w:style>
  <w:style w:type="character" w:styleId="EndnoteReference">
    <w:name w:val="endnote reference"/>
    <w:basedOn w:val="DefaultParagraphFont"/>
    <w:uiPriority w:val="99"/>
    <w:semiHidden/>
    <w:unhideWhenUsed/>
    <w:rsid w:val="00EF79C0"/>
    <w:rPr>
      <w:vertAlign w:val="superscript"/>
    </w:rPr>
  </w:style>
</w:styles>
</file>

<file path=word/webSettings.xml><?xml version="1.0" encoding="utf-8"?>
<w:webSettings xmlns:r="http://schemas.openxmlformats.org/officeDocument/2006/relationships" xmlns:w="http://schemas.openxmlformats.org/wordprocessingml/2006/main">
  <w:divs>
    <w:div w:id="116682473">
      <w:bodyDiv w:val="1"/>
      <w:marLeft w:val="0"/>
      <w:marRight w:val="0"/>
      <w:marTop w:val="0"/>
      <w:marBottom w:val="0"/>
      <w:divBdr>
        <w:top w:val="none" w:sz="0" w:space="0" w:color="auto"/>
        <w:left w:val="none" w:sz="0" w:space="0" w:color="auto"/>
        <w:bottom w:val="none" w:sz="0" w:space="0" w:color="auto"/>
        <w:right w:val="none" w:sz="0" w:space="0" w:color="auto"/>
      </w:divBdr>
      <w:divsChild>
        <w:div w:id="1990091389">
          <w:marLeft w:val="0"/>
          <w:marRight w:val="0"/>
          <w:marTop w:val="0"/>
          <w:marBottom w:val="0"/>
          <w:divBdr>
            <w:top w:val="none" w:sz="0" w:space="0" w:color="auto"/>
            <w:left w:val="none" w:sz="0" w:space="0" w:color="auto"/>
            <w:bottom w:val="none" w:sz="0" w:space="0" w:color="auto"/>
            <w:right w:val="none" w:sz="0" w:space="0" w:color="auto"/>
          </w:divBdr>
        </w:div>
      </w:divsChild>
    </w:div>
    <w:div w:id="312102471">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2">
          <w:marLeft w:val="0"/>
          <w:marRight w:val="0"/>
          <w:marTop w:val="0"/>
          <w:marBottom w:val="0"/>
          <w:divBdr>
            <w:top w:val="none" w:sz="0" w:space="0" w:color="auto"/>
            <w:left w:val="none" w:sz="0" w:space="0" w:color="auto"/>
            <w:bottom w:val="none" w:sz="0" w:space="0" w:color="auto"/>
            <w:right w:val="none" w:sz="0" w:space="0" w:color="auto"/>
          </w:divBdr>
          <w:divsChild>
            <w:div w:id="1476601093">
              <w:marLeft w:val="0"/>
              <w:marRight w:val="0"/>
              <w:marTop w:val="0"/>
              <w:marBottom w:val="0"/>
              <w:divBdr>
                <w:top w:val="none" w:sz="0" w:space="0" w:color="auto"/>
                <w:left w:val="none" w:sz="0" w:space="0" w:color="auto"/>
                <w:bottom w:val="none" w:sz="0" w:space="0" w:color="auto"/>
                <w:right w:val="none" w:sz="0" w:space="0" w:color="auto"/>
              </w:divBdr>
              <w:divsChild>
                <w:div w:id="1767574711">
                  <w:marLeft w:val="0"/>
                  <w:marRight w:val="0"/>
                  <w:marTop w:val="0"/>
                  <w:marBottom w:val="0"/>
                  <w:divBdr>
                    <w:top w:val="none" w:sz="0" w:space="0" w:color="auto"/>
                    <w:left w:val="none" w:sz="0" w:space="0" w:color="auto"/>
                    <w:bottom w:val="none" w:sz="0" w:space="0" w:color="auto"/>
                    <w:right w:val="none" w:sz="0" w:space="0" w:color="auto"/>
                  </w:divBdr>
                  <w:divsChild>
                    <w:div w:id="665520625">
                      <w:marLeft w:val="0"/>
                      <w:marRight w:val="0"/>
                      <w:marTop w:val="0"/>
                      <w:marBottom w:val="0"/>
                      <w:divBdr>
                        <w:top w:val="single" w:sz="48" w:space="0" w:color="E5E5E5"/>
                        <w:left w:val="none" w:sz="0" w:space="0" w:color="auto"/>
                        <w:bottom w:val="none" w:sz="0" w:space="0" w:color="auto"/>
                        <w:right w:val="none" w:sz="0" w:space="0" w:color="auto"/>
                      </w:divBdr>
                      <w:divsChild>
                        <w:div w:id="1672872934">
                          <w:marLeft w:val="0"/>
                          <w:marRight w:val="0"/>
                          <w:marTop w:val="0"/>
                          <w:marBottom w:val="0"/>
                          <w:divBdr>
                            <w:top w:val="none" w:sz="0" w:space="0" w:color="auto"/>
                            <w:left w:val="none" w:sz="0" w:space="0" w:color="auto"/>
                            <w:bottom w:val="none" w:sz="0" w:space="0" w:color="auto"/>
                            <w:right w:val="none" w:sz="0" w:space="0" w:color="auto"/>
                          </w:divBdr>
                          <w:divsChild>
                            <w:div w:id="667290147">
                              <w:marLeft w:val="0"/>
                              <w:marRight w:val="0"/>
                              <w:marTop w:val="0"/>
                              <w:marBottom w:val="0"/>
                              <w:divBdr>
                                <w:top w:val="none" w:sz="0" w:space="0" w:color="auto"/>
                                <w:left w:val="none" w:sz="0" w:space="0" w:color="auto"/>
                                <w:bottom w:val="none" w:sz="0" w:space="0" w:color="auto"/>
                                <w:right w:val="none" w:sz="0" w:space="0" w:color="auto"/>
                              </w:divBdr>
                              <w:divsChild>
                                <w:div w:id="385834712">
                                  <w:marLeft w:val="0"/>
                                  <w:marRight w:val="0"/>
                                  <w:marTop w:val="0"/>
                                  <w:marBottom w:val="0"/>
                                  <w:divBdr>
                                    <w:top w:val="none" w:sz="0" w:space="0" w:color="auto"/>
                                    <w:left w:val="none" w:sz="0" w:space="0" w:color="auto"/>
                                    <w:bottom w:val="none" w:sz="0" w:space="0" w:color="auto"/>
                                    <w:right w:val="none" w:sz="0" w:space="0" w:color="auto"/>
                                  </w:divBdr>
                                  <w:divsChild>
                                    <w:div w:id="16983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12930">
      <w:bodyDiv w:val="1"/>
      <w:marLeft w:val="0"/>
      <w:marRight w:val="0"/>
      <w:marTop w:val="0"/>
      <w:marBottom w:val="0"/>
      <w:divBdr>
        <w:top w:val="none" w:sz="0" w:space="0" w:color="auto"/>
        <w:left w:val="none" w:sz="0" w:space="0" w:color="auto"/>
        <w:bottom w:val="none" w:sz="0" w:space="0" w:color="auto"/>
        <w:right w:val="none" w:sz="0" w:space="0" w:color="auto"/>
      </w:divBdr>
      <w:divsChild>
        <w:div w:id="318268591">
          <w:marLeft w:val="0"/>
          <w:marRight w:val="0"/>
          <w:marTop w:val="0"/>
          <w:marBottom w:val="0"/>
          <w:divBdr>
            <w:top w:val="none" w:sz="0" w:space="0" w:color="auto"/>
            <w:left w:val="none" w:sz="0" w:space="0" w:color="auto"/>
            <w:bottom w:val="none" w:sz="0" w:space="0" w:color="auto"/>
            <w:right w:val="none" w:sz="0" w:space="0" w:color="auto"/>
          </w:divBdr>
          <w:divsChild>
            <w:div w:id="1807317248">
              <w:marLeft w:val="0"/>
              <w:marRight w:val="0"/>
              <w:marTop w:val="0"/>
              <w:marBottom w:val="0"/>
              <w:divBdr>
                <w:top w:val="none" w:sz="0" w:space="0" w:color="auto"/>
                <w:left w:val="none" w:sz="0" w:space="0" w:color="auto"/>
                <w:bottom w:val="none" w:sz="0" w:space="0" w:color="auto"/>
                <w:right w:val="none" w:sz="0" w:space="0" w:color="auto"/>
              </w:divBdr>
              <w:divsChild>
                <w:div w:id="395208604">
                  <w:marLeft w:val="0"/>
                  <w:marRight w:val="0"/>
                  <w:marTop w:val="0"/>
                  <w:marBottom w:val="0"/>
                  <w:divBdr>
                    <w:top w:val="none" w:sz="0" w:space="0" w:color="auto"/>
                    <w:left w:val="none" w:sz="0" w:space="0" w:color="auto"/>
                    <w:bottom w:val="none" w:sz="0" w:space="0" w:color="auto"/>
                    <w:right w:val="none" w:sz="0" w:space="0" w:color="auto"/>
                  </w:divBdr>
                  <w:divsChild>
                    <w:div w:id="1101297209">
                      <w:marLeft w:val="0"/>
                      <w:marRight w:val="0"/>
                      <w:marTop w:val="0"/>
                      <w:marBottom w:val="0"/>
                      <w:divBdr>
                        <w:top w:val="none" w:sz="0" w:space="0" w:color="auto"/>
                        <w:left w:val="none" w:sz="0" w:space="0" w:color="auto"/>
                        <w:bottom w:val="none" w:sz="0" w:space="0" w:color="auto"/>
                        <w:right w:val="none" w:sz="0" w:space="0" w:color="auto"/>
                      </w:divBdr>
                      <w:divsChild>
                        <w:div w:id="1950746019">
                          <w:marLeft w:val="0"/>
                          <w:marRight w:val="0"/>
                          <w:marTop w:val="0"/>
                          <w:marBottom w:val="0"/>
                          <w:divBdr>
                            <w:top w:val="none" w:sz="0" w:space="0" w:color="auto"/>
                            <w:left w:val="none" w:sz="0" w:space="0" w:color="auto"/>
                            <w:bottom w:val="none" w:sz="0" w:space="0" w:color="auto"/>
                            <w:right w:val="none" w:sz="0" w:space="0" w:color="auto"/>
                          </w:divBdr>
                          <w:divsChild>
                            <w:div w:id="752629059">
                              <w:marLeft w:val="0"/>
                              <w:marRight w:val="0"/>
                              <w:marTop w:val="0"/>
                              <w:marBottom w:val="0"/>
                              <w:divBdr>
                                <w:top w:val="none" w:sz="0" w:space="0" w:color="auto"/>
                                <w:left w:val="none" w:sz="0" w:space="0" w:color="auto"/>
                                <w:bottom w:val="none" w:sz="0" w:space="0" w:color="auto"/>
                                <w:right w:val="none" w:sz="0" w:space="0" w:color="auto"/>
                              </w:divBdr>
                              <w:divsChild>
                                <w:div w:id="900217574">
                                  <w:marLeft w:val="0"/>
                                  <w:marRight w:val="0"/>
                                  <w:marTop w:val="0"/>
                                  <w:marBottom w:val="0"/>
                                  <w:divBdr>
                                    <w:top w:val="none" w:sz="0" w:space="0" w:color="auto"/>
                                    <w:left w:val="none" w:sz="0" w:space="0" w:color="auto"/>
                                    <w:bottom w:val="none" w:sz="0" w:space="0" w:color="auto"/>
                                    <w:right w:val="none" w:sz="0" w:space="0" w:color="auto"/>
                                  </w:divBdr>
                                  <w:divsChild>
                                    <w:div w:id="646789572">
                                      <w:marLeft w:val="0"/>
                                      <w:marRight w:val="0"/>
                                      <w:marTop w:val="0"/>
                                      <w:marBottom w:val="0"/>
                                      <w:divBdr>
                                        <w:top w:val="none" w:sz="0" w:space="0" w:color="auto"/>
                                        <w:left w:val="none" w:sz="0" w:space="0" w:color="auto"/>
                                        <w:bottom w:val="none" w:sz="0" w:space="0" w:color="auto"/>
                                        <w:right w:val="none" w:sz="0" w:space="0" w:color="auto"/>
                                      </w:divBdr>
                                      <w:divsChild>
                                        <w:div w:id="586115420">
                                          <w:marLeft w:val="0"/>
                                          <w:marRight w:val="0"/>
                                          <w:marTop w:val="0"/>
                                          <w:marBottom w:val="0"/>
                                          <w:divBdr>
                                            <w:top w:val="none" w:sz="0" w:space="0" w:color="auto"/>
                                            <w:left w:val="none" w:sz="0" w:space="0" w:color="auto"/>
                                            <w:bottom w:val="none" w:sz="0" w:space="0" w:color="auto"/>
                                            <w:right w:val="none" w:sz="0" w:space="0" w:color="auto"/>
                                          </w:divBdr>
                                          <w:divsChild>
                                            <w:div w:id="478621920">
                                              <w:marLeft w:val="0"/>
                                              <w:marRight w:val="0"/>
                                              <w:marTop w:val="0"/>
                                              <w:marBottom w:val="0"/>
                                              <w:divBdr>
                                                <w:top w:val="none" w:sz="0" w:space="0" w:color="auto"/>
                                                <w:left w:val="none" w:sz="0" w:space="0" w:color="auto"/>
                                                <w:bottom w:val="none" w:sz="0" w:space="0" w:color="auto"/>
                                                <w:right w:val="none" w:sz="0" w:space="0" w:color="auto"/>
                                              </w:divBdr>
                                              <w:divsChild>
                                                <w:div w:id="18376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1438346">
      <w:bodyDiv w:val="1"/>
      <w:marLeft w:val="0"/>
      <w:marRight w:val="0"/>
      <w:marTop w:val="0"/>
      <w:marBottom w:val="0"/>
      <w:divBdr>
        <w:top w:val="none" w:sz="0" w:space="0" w:color="auto"/>
        <w:left w:val="none" w:sz="0" w:space="0" w:color="auto"/>
        <w:bottom w:val="none" w:sz="0" w:space="0" w:color="auto"/>
        <w:right w:val="none" w:sz="0" w:space="0" w:color="auto"/>
      </w:divBdr>
      <w:divsChild>
        <w:div w:id="928001509">
          <w:marLeft w:val="0"/>
          <w:marRight w:val="0"/>
          <w:marTop w:val="0"/>
          <w:marBottom w:val="0"/>
          <w:divBdr>
            <w:top w:val="none" w:sz="0" w:space="0" w:color="auto"/>
            <w:left w:val="none" w:sz="0" w:space="0" w:color="auto"/>
            <w:bottom w:val="none" w:sz="0" w:space="0" w:color="auto"/>
            <w:right w:val="none" w:sz="0" w:space="0" w:color="auto"/>
          </w:divBdr>
          <w:divsChild>
            <w:div w:id="1194421931">
              <w:marLeft w:val="0"/>
              <w:marRight w:val="0"/>
              <w:marTop w:val="0"/>
              <w:marBottom w:val="0"/>
              <w:divBdr>
                <w:top w:val="none" w:sz="0" w:space="0" w:color="auto"/>
                <w:left w:val="none" w:sz="0" w:space="0" w:color="auto"/>
                <w:bottom w:val="none" w:sz="0" w:space="0" w:color="auto"/>
                <w:right w:val="none" w:sz="0" w:space="0" w:color="auto"/>
              </w:divBdr>
              <w:divsChild>
                <w:div w:id="1000154597">
                  <w:marLeft w:val="0"/>
                  <w:marRight w:val="0"/>
                  <w:marTop w:val="0"/>
                  <w:marBottom w:val="0"/>
                  <w:divBdr>
                    <w:top w:val="none" w:sz="0" w:space="0" w:color="auto"/>
                    <w:left w:val="none" w:sz="0" w:space="0" w:color="auto"/>
                    <w:bottom w:val="none" w:sz="0" w:space="0" w:color="auto"/>
                    <w:right w:val="none" w:sz="0" w:space="0" w:color="auto"/>
                  </w:divBdr>
                  <w:divsChild>
                    <w:div w:id="1577517478">
                      <w:marLeft w:val="0"/>
                      <w:marRight w:val="0"/>
                      <w:marTop w:val="0"/>
                      <w:marBottom w:val="0"/>
                      <w:divBdr>
                        <w:top w:val="single" w:sz="48" w:space="0" w:color="E5E5E5"/>
                        <w:left w:val="none" w:sz="0" w:space="0" w:color="auto"/>
                        <w:bottom w:val="none" w:sz="0" w:space="0" w:color="auto"/>
                        <w:right w:val="none" w:sz="0" w:space="0" w:color="auto"/>
                      </w:divBdr>
                      <w:divsChild>
                        <w:div w:id="728921279">
                          <w:marLeft w:val="0"/>
                          <w:marRight w:val="0"/>
                          <w:marTop w:val="0"/>
                          <w:marBottom w:val="0"/>
                          <w:divBdr>
                            <w:top w:val="none" w:sz="0" w:space="0" w:color="auto"/>
                            <w:left w:val="none" w:sz="0" w:space="0" w:color="auto"/>
                            <w:bottom w:val="none" w:sz="0" w:space="0" w:color="auto"/>
                            <w:right w:val="none" w:sz="0" w:space="0" w:color="auto"/>
                          </w:divBdr>
                          <w:divsChild>
                            <w:div w:id="2127307326">
                              <w:marLeft w:val="0"/>
                              <w:marRight w:val="0"/>
                              <w:marTop w:val="0"/>
                              <w:marBottom w:val="0"/>
                              <w:divBdr>
                                <w:top w:val="none" w:sz="0" w:space="0" w:color="auto"/>
                                <w:left w:val="none" w:sz="0" w:space="0" w:color="auto"/>
                                <w:bottom w:val="none" w:sz="0" w:space="0" w:color="auto"/>
                                <w:right w:val="none" w:sz="0" w:space="0" w:color="auto"/>
                              </w:divBdr>
                              <w:divsChild>
                                <w:div w:id="852111800">
                                  <w:marLeft w:val="0"/>
                                  <w:marRight w:val="0"/>
                                  <w:marTop w:val="0"/>
                                  <w:marBottom w:val="0"/>
                                  <w:divBdr>
                                    <w:top w:val="none" w:sz="0" w:space="0" w:color="auto"/>
                                    <w:left w:val="none" w:sz="0" w:space="0" w:color="auto"/>
                                    <w:bottom w:val="none" w:sz="0" w:space="0" w:color="auto"/>
                                    <w:right w:val="none" w:sz="0" w:space="0" w:color="auto"/>
                                  </w:divBdr>
                                  <w:divsChild>
                                    <w:div w:id="114361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031745">
      <w:bodyDiv w:val="1"/>
      <w:marLeft w:val="0"/>
      <w:marRight w:val="0"/>
      <w:marTop w:val="0"/>
      <w:marBottom w:val="0"/>
      <w:divBdr>
        <w:top w:val="none" w:sz="0" w:space="0" w:color="auto"/>
        <w:left w:val="none" w:sz="0" w:space="0" w:color="auto"/>
        <w:bottom w:val="none" w:sz="0" w:space="0" w:color="auto"/>
        <w:right w:val="none" w:sz="0" w:space="0" w:color="auto"/>
      </w:divBdr>
      <w:divsChild>
        <w:div w:id="278024662">
          <w:marLeft w:val="0"/>
          <w:marRight w:val="0"/>
          <w:marTop w:val="0"/>
          <w:marBottom w:val="0"/>
          <w:divBdr>
            <w:top w:val="none" w:sz="0" w:space="0" w:color="auto"/>
            <w:left w:val="none" w:sz="0" w:space="0" w:color="auto"/>
            <w:bottom w:val="none" w:sz="0" w:space="0" w:color="auto"/>
            <w:right w:val="none" w:sz="0" w:space="0" w:color="auto"/>
          </w:divBdr>
        </w:div>
      </w:divsChild>
    </w:div>
    <w:div w:id="1881280610">
      <w:bodyDiv w:val="1"/>
      <w:marLeft w:val="0"/>
      <w:marRight w:val="0"/>
      <w:marTop w:val="0"/>
      <w:marBottom w:val="0"/>
      <w:divBdr>
        <w:top w:val="none" w:sz="0" w:space="0" w:color="auto"/>
        <w:left w:val="none" w:sz="0" w:space="0" w:color="auto"/>
        <w:bottom w:val="none" w:sz="0" w:space="0" w:color="auto"/>
        <w:right w:val="none" w:sz="0" w:space="0" w:color="auto"/>
      </w:divBdr>
      <w:divsChild>
        <w:div w:id="1391148726">
          <w:marLeft w:val="0"/>
          <w:marRight w:val="0"/>
          <w:marTop w:val="0"/>
          <w:marBottom w:val="0"/>
          <w:divBdr>
            <w:top w:val="none" w:sz="0" w:space="0" w:color="auto"/>
            <w:left w:val="none" w:sz="0" w:space="0" w:color="auto"/>
            <w:bottom w:val="none" w:sz="0" w:space="0" w:color="auto"/>
            <w:right w:val="none" w:sz="0" w:space="0" w:color="auto"/>
          </w:divBdr>
          <w:divsChild>
            <w:div w:id="381442793">
              <w:marLeft w:val="0"/>
              <w:marRight w:val="0"/>
              <w:marTop w:val="0"/>
              <w:marBottom w:val="0"/>
              <w:divBdr>
                <w:top w:val="none" w:sz="0" w:space="0" w:color="auto"/>
                <w:left w:val="none" w:sz="0" w:space="0" w:color="auto"/>
                <w:bottom w:val="none" w:sz="0" w:space="0" w:color="auto"/>
                <w:right w:val="none" w:sz="0" w:space="0" w:color="auto"/>
              </w:divBdr>
              <w:divsChild>
                <w:div w:id="1498421270">
                  <w:marLeft w:val="0"/>
                  <w:marRight w:val="0"/>
                  <w:marTop w:val="0"/>
                  <w:marBottom w:val="0"/>
                  <w:divBdr>
                    <w:top w:val="none" w:sz="0" w:space="0" w:color="auto"/>
                    <w:left w:val="none" w:sz="0" w:space="0" w:color="auto"/>
                    <w:bottom w:val="none" w:sz="0" w:space="0" w:color="auto"/>
                    <w:right w:val="none" w:sz="0" w:space="0" w:color="auto"/>
                  </w:divBdr>
                  <w:divsChild>
                    <w:div w:id="1560897519">
                      <w:marLeft w:val="0"/>
                      <w:marRight w:val="0"/>
                      <w:marTop w:val="0"/>
                      <w:marBottom w:val="0"/>
                      <w:divBdr>
                        <w:top w:val="none" w:sz="0" w:space="0" w:color="auto"/>
                        <w:left w:val="none" w:sz="0" w:space="0" w:color="auto"/>
                        <w:bottom w:val="none" w:sz="0" w:space="0" w:color="auto"/>
                        <w:right w:val="none" w:sz="0" w:space="0" w:color="auto"/>
                      </w:divBdr>
                      <w:divsChild>
                        <w:div w:id="480079769">
                          <w:marLeft w:val="0"/>
                          <w:marRight w:val="0"/>
                          <w:marTop w:val="0"/>
                          <w:marBottom w:val="0"/>
                          <w:divBdr>
                            <w:top w:val="none" w:sz="0" w:space="0" w:color="auto"/>
                            <w:left w:val="none" w:sz="0" w:space="0" w:color="auto"/>
                            <w:bottom w:val="none" w:sz="0" w:space="0" w:color="auto"/>
                            <w:right w:val="none" w:sz="0" w:space="0" w:color="auto"/>
                          </w:divBdr>
                          <w:divsChild>
                            <w:div w:id="1942183056">
                              <w:marLeft w:val="0"/>
                              <w:marRight w:val="0"/>
                              <w:marTop w:val="0"/>
                              <w:marBottom w:val="0"/>
                              <w:divBdr>
                                <w:top w:val="none" w:sz="0" w:space="0" w:color="auto"/>
                                <w:left w:val="none" w:sz="0" w:space="0" w:color="auto"/>
                                <w:bottom w:val="none" w:sz="0" w:space="0" w:color="auto"/>
                                <w:right w:val="none" w:sz="0" w:space="0" w:color="auto"/>
                              </w:divBdr>
                              <w:divsChild>
                                <w:div w:id="1501193423">
                                  <w:marLeft w:val="0"/>
                                  <w:marRight w:val="0"/>
                                  <w:marTop w:val="0"/>
                                  <w:marBottom w:val="0"/>
                                  <w:divBdr>
                                    <w:top w:val="none" w:sz="0" w:space="0" w:color="auto"/>
                                    <w:left w:val="none" w:sz="0" w:space="0" w:color="auto"/>
                                    <w:bottom w:val="none" w:sz="0" w:space="0" w:color="auto"/>
                                    <w:right w:val="none" w:sz="0" w:space="0" w:color="auto"/>
                                  </w:divBdr>
                                  <w:divsChild>
                                    <w:div w:id="658341055">
                                      <w:marLeft w:val="0"/>
                                      <w:marRight w:val="0"/>
                                      <w:marTop w:val="0"/>
                                      <w:marBottom w:val="0"/>
                                      <w:divBdr>
                                        <w:top w:val="none" w:sz="0" w:space="0" w:color="auto"/>
                                        <w:left w:val="none" w:sz="0" w:space="0" w:color="auto"/>
                                        <w:bottom w:val="none" w:sz="0" w:space="0" w:color="auto"/>
                                        <w:right w:val="none" w:sz="0" w:space="0" w:color="auto"/>
                                      </w:divBdr>
                                      <w:divsChild>
                                        <w:div w:id="1382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earthrights.net/docs/greentax.html" TargetMode="External"/><Relationship Id="rId4" Type="http://schemas.openxmlformats.org/officeDocument/2006/relationships/hyperlink" Target="http://www.earthrights.net/docs/financing.html" TargetMode="External"/><Relationship Id="rId1" Type="http://schemas.openxmlformats.org/officeDocument/2006/relationships/hyperlink" Target="http://www.course.earthrights.net" TargetMode="External"/><Relationship Id="rId2" Type="http://schemas.openxmlformats.org/officeDocument/2006/relationships/hyperlink" Target="http://www.earthrights.net/docs/alask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9DA45-660D-AE42-A5FC-ABA388CD3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4073</Words>
  <Characters>23220</Characters>
  <Application>Microsoft Macintosh Word</Application>
  <DocSecurity>0</DocSecurity>
  <Lines>193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Alanna</dc:creator>
  <cp:lastModifiedBy>Karl Widerquist</cp:lastModifiedBy>
  <cp:revision>2</cp:revision>
  <cp:lastPrinted>2011-02-12T19:46:00Z</cp:lastPrinted>
  <dcterms:created xsi:type="dcterms:W3CDTF">2011-02-18T05:46:00Z</dcterms:created>
  <dcterms:modified xsi:type="dcterms:W3CDTF">2011-02-18T05:46:00Z</dcterms:modified>
</cp:coreProperties>
</file>